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9D731" w14:textId="4A38F8BE" w:rsidR="00712DAD" w:rsidRPr="00712DAD" w:rsidRDefault="00035C5F" w:rsidP="00712DAD">
      <w:pPr>
        <w:widowControl w:val="0"/>
        <w:autoSpaceDE w:val="0"/>
        <w:autoSpaceDN w:val="0"/>
        <w:adjustRightInd w:val="0"/>
        <w:spacing w:after="0" w:line="240" w:lineRule="auto"/>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 xml:space="preserve">SECTION B - </w:t>
      </w:r>
      <w:r w:rsidR="00712DAD" w:rsidRPr="00712DAD">
        <w:rPr>
          <w:rFonts w:ascii="Times New Roman" w:eastAsia="Times New Roman" w:hAnsi="Times New Roman" w:cs="Times New Roman"/>
          <w:b/>
          <w:bCs/>
          <w:kern w:val="0"/>
          <w14:ligatures w14:val="none"/>
        </w:rPr>
        <w:t>STATEMENT OF WORK</w:t>
      </w:r>
    </w:p>
    <w:p w14:paraId="02F12049"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p>
    <w:p w14:paraId="77704DCF"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VIDEO REMOTE INTERPRETING (VRI) SERVICES</w:t>
      </w:r>
    </w:p>
    <w:p w14:paraId="2A66055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6E8AD3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 xml:space="preserve">B-1 </w:t>
      </w:r>
      <w:r w:rsidRPr="00712DAD">
        <w:rPr>
          <w:rFonts w:ascii="Times New Roman" w:eastAsia="Times New Roman" w:hAnsi="Times New Roman" w:cs="Times New Roman"/>
          <w:b/>
          <w:bCs/>
          <w:kern w:val="0"/>
          <w14:ligatures w14:val="none"/>
        </w:rPr>
        <w:tab/>
        <w:t>PURPOSE</w:t>
      </w:r>
    </w:p>
    <w:p w14:paraId="47499DB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E34A96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Social Security Administration (SSA or the Agency) requires contractor-provided Video Remote Interpreting (VRI) services for Deaf or Hard of Hearing (DHOH) members of the public who communicate through American Sign Language (ASL), Certified Deaf Interpreter (CDI) services, and other supported signed communication modes.</w:t>
      </w:r>
    </w:p>
    <w:p w14:paraId="7552F30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A418ED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purpose of this requirement is to provide secure, reliable, scalable, and timely remote interpreting services that enable effective communication between SSA personnel and DHOH customers through qualified third-party interpreters.</w:t>
      </w:r>
    </w:p>
    <w:p w14:paraId="10116C0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769280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 xml:space="preserve">B-2 </w:t>
      </w:r>
      <w:r w:rsidRPr="00712DAD">
        <w:rPr>
          <w:rFonts w:ascii="Times New Roman" w:eastAsia="Times New Roman" w:hAnsi="Times New Roman" w:cs="Times New Roman"/>
          <w:b/>
          <w:bCs/>
          <w:kern w:val="0"/>
          <w14:ligatures w14:val="none"/>
        </w:rPr>
        <w:tab/>
        <w:t>BACKGROUND</w:t>
      </w:r>
    </w:p>
    <w:p w14:paraId="68322B5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7B5F11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SSA provides benefits and services to the public under Titles II, VIII, XVI, and XIX of the Social Security Act. SSA has a nationwide network of more than 1,230 offices in the United States and its territories and 21 Federal Benefit Units (FBUs) located worldwide. More than 40 million members of the public visit SSA offices each year.</w:t>
      </w:r>
    </w:p>
    <w:p w14:paraId="49EFC21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DF512E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SSA currently provides VRI services to supplement existing interpreting options, including in-person interpreters, employee interpreters, and customers who choose to use their own interpreter. SSA has identified approximately 224,000 customers who are Deaf or Hard of Hearing.</w:t>
      </w:r>
    </w:p>
    <w:p w14:paraId="0DE2935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83A3FC6" w14:textId="6BDF5D2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SSA currently uses a combination of video and browser-based technologies to support VRI access. Most field offices use HP/Poly or Cisco video units. SSA also uses Windows-based laptops running browser-based Pexip WebApp3</w:t>
      </w:r>
      <w:r w:rsidR="001F21F0">
        <w:rPr>
          <w:rFonts w:ascii="Times New Roman" w:eastAsia="Times New Roman" w:hAnsi="Times New Roman" w:cs="Times New Roman"/>
          <w:kern w:val="0"/>
          <w14:ligatures w14:val="none"/>
        </w:rPr>
        <w:t xml:space="preserve">, </w:t>
      </w:r>
      <w:r w:rsidR="001F21F0" w:rsidRPr="001F21F0">
        <w:rPr>
          <w:rFonts w:ascii="Times New Roman" w:eastAsia="Times New Roman" w:hAnsi="Times New Roman" w:cs="Times New Roman"/>
          <w:kern w:val="0"/>
          <w14:ligatures w14:val="none"/>
        </w:rPr>
        <w:t>or similar browser-based access platform</w:t>
      </w:r>
      <w:r w:rsidRPr="00712DAD">
        <w:rPr>
          <w:rFonts w:ascii="Times New Roman" w:eastAsia="Times New Roman" w:hAnsi="Times New Roman" w:cs="Times New Roman"/>
          <w:kern w:val="0"/>
          <w14:ligatures w14:val="none"/>
        </w:rPr>
        <w:t>. The video conferencing infrastructure is SIP-based with TLS and AES encryption and secure Internet-based integration with VRI services. The contractor shall provide a VRI solution that is compatible with SSA's required technical environment as set forth in this Statement of Work (SOW).</w:t>
      </w:r>
    </w:p>
    <w:p w14:paraId="7DAD755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27C098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current VRI contract is expected to expire at the end of May 2026. The contractor shall support transition, implementation, testing, and service readiness such that full production service is available no later than June 1, 2026.</w:t>
      </w:r>
    </w:p>
    <w:p w14:paraId="6B85BE5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4E3914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Historical VRI calls have averaged approximately 30 minutes in duration. Historical call volume has averaged approximately 500 calls per month; however, call volume may increase during the period of performance. The contractor shall be capable of supporting growth in use and geographic expansion in accordance with this SOW.</w:t>
      </w:r>
    </w:p>
    <w:p w14:paraId="29485B6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7E6803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 xml:space="preserve">B-3 </w:t>
      </w:r>
      <w:r w:rsidRPr="00712DAD">
        <w:rPr>
          <w:rFonts w:ascii="Times New Roman" w:eastAsia="Times New Roman" w:hAnsi="Times New Roman" w:cs="Times New Roman"/>
          <w:b/>
          <w:bCs/>
          <w:kern w:val="0"/>
          <w14:ligatures w14:val="none"/>
        </w:rPr>
        <w:tab/>
        <w:t>SCOPE</w:t>
      </w:r>
    </w:p>
    <w:p w14:paraId="40D2827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6E50FE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lastRenderedPageBreak/>
        <w:t>The contractor shall provide all resources necessary to perform VRI services in accordance with this SOW.</w:t>
      </w:r>
    </w:p>
    <w:p w14:paraId="7CA04C4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C9C7DC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At a minimum, the contractor shall provide the following:</w:t>
      </w:r>
    </w:p>
    <w:p w14:paraId="0A91A6D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0BA496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3.1. On-demand VRI services.</w:t>
      </w:r>
    </w:p>
    <w:p w14:paraId="559E5F8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7C30AC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3.2. Scheduled VRI services, when requested by SSA.</w:t>
      </w:r>
    </w:p>
    <w:p w14:paraId="5081DE4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139C73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3.3. Qualified interpreters, including CDI support and additional signed language </w:t>
      </w:r>
      <w:proofErr w:type="gramStart"/>
      <w:r w:rsidRPr="00712DAD">
        <w:rPr>
          <w:rFonts w:ascii="Times New Roman" w:eastAsia="Times New Roman" w:hAnsi="Times New Roman" w:cs="Times New Roman"/>
          <w:kern w:val="0"/>
          <w14:ligatures w14:val="none"/>
        </w:rPr>
        <w:t>support</w:t>
      </w:r>
      <w:proofErr w:type="gramEnd"/>
      <w:r w:rsidRPr="00712DAD">
        <w:rPr>
          <w:rFonts w:ascii="Times New Roman" w:eastAsia="Times New Roman" w:hAnsi="Times New Roman" w:cs="Times New Roman"/>
          <w:kern w:val="0"/>
          <w14:ligatures w14:val="none"/>
        </w:rPr>
        <w:t xml:space="preserve"> as required for effective communication.</w:t>
      </w:r>
    </w:p>
    <w:p w14:paraId="409BD53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54F186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3.4. Technical interoperability with SSA-approved access methods.</w:t>
      </w:r>
    </w:p>
    <w:p w14:paraId="3667686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81D1A7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3.5. Implementation, transition, and testing support.</w:t>
      </w:r>
    </w:p>
    <w:p w14:paraId="4F8D72B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077B44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3.6. Helpdesk and technical support.</w:t>
      </w:r>
    </w:p>
    <w:p w14:paraId="0B4AAAD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A886DF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3.7. Continuity of operations and disaster recovery support.</w:t>
      </w:r>
    </w:p>
    <w:p w14:paraId="6EEF981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8AAE6D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3.8. Reporting, billing support, and customer feedback reporting.</w:t>
      </w:r>
    </w:p>
    <w:p w14:paraId="4F67F98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2DC043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 xml:space="preserve">B-4 </w:t>
      </w:r>
      <w:r w:rsidRPr="00712DAD">
        <w:rPr>
          <w:rFonts w:ascii="Times New Roman" w:eastAsia="Times New Roman" w:hAnsi="Times New Roman" w:cs="Times New Roman"/>
          <w:b/>
          <w:bCs/>
          <w:kern w:val="0"/>
          <w14:ligatures w14:val="none"/>
        </w:rPr>
        <w:tab/>
        <w:t>SERVICE DELIVERY LOCATIONS</w:t>
      </w:r>
    </w:p>
    <w:p w14:paraId="2D9A5B7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5B4BC6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provide VRI services remotely to SSA-designated locations, including:</w:t>
      </w:r>
    </w:p>
    <w:p w14:paraId="51AB934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E3DF3E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4.1. SSA offices in the United States and its territories.</w:t>
      </w:r>
    </w:p>
    <w:p w14:paraId="69C3522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5330BC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4.2. SSA support locations and any future locations designated by the Agency.</w:t>
      </w:r>
    </w:p>
    <w:p w14:paraId="12572C2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544C43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4.3. Federal Benefit Units and other foreign service posts identified by SSA.</w:t>
      </w:r>
    </w:p>
    <w:p w14:paraId="2A28E7E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E551B9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be capable of supporting access from all SSA-designated locations identified by the Agency during the period of performance using SSA-approved access methods and contractor-provided service connectivity.</w:t>
      </w:r>
    </w:p>
    <w:p w14:paraId="220FB90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0395D1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 xml:space="preserve">B-5 </w:t>
      </w:r>
      <w:r w:rsidRPr="00712DAD">
        <w:rPr>
          <w:rFonts w:ascii="Times New Roman" w:eastAsia="Times New Roman" w:hAnsi="Times New Roman" w:cs="Times New Roman"/>
          <w:b/>
          <w:bCs/>
          <w:kern w:val="0"/>
          <w14:ligatures w14:val="none"/>
        </w:rPr>
        <w:tab/>
        <w:t>PERIOD OF PERFORMANCE</w:t>
      </w:r>
    </w:p>
    <w:p w14:paraId="43B418C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F26C48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anticipated period of performance is one (1) 12-month base period beginning June 1, 2026, followed by four (4) 12-month option periods, if exercised by the Government.</w:t>
      </w:r>
    </w:p>
    <w:p w14:paraId="3D4E917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A303A7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 xml:space="preserve">B-6 </w:t>
      </w:r>
      <w:r w:rsidRPr="00712DAD">
        <w:rPr>
          <w:rFonts w:ascii="Times New Roman" w:eastAsia="Times New Roman" w:hAnsi="Times New Roman" w:cs="Times New Roman"/>
          <w:b/>
          <w:bCs/>
          <w:kern w:val="0"/>
          <w14:ligatures w14:val="none"/>
        </w:rPr>
        <w:tab/>
        <w:t>GOVERNMENT-FURNISHED PROPERTY AND SERVICES</w:t>
      </w:r>
    </w:p>
    <w:p w14:paraId="773F705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7C6CC7E" w14:textId="138007A3"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SSA will provide Government-furnished end-user equipment, software, and network access at SSA locations, subject to Agency funding and deployment decisions. Such Government-furnished resources may include, as applicable, HP/Poly video equipment, Cisco video </w:t>
      </w:r>
      <w:r w:rsidRPr="00712DAD">
        <w:rPr>
          <w:rFonts w:ascii="Times New Roman" w:eastAsia="Times New Roman" w:hAnsi="Times New Roman" w:cs="Times New Roman"/>
          <w:kern w:val="0"/>
          <w14:ligatures w14:val="none"/>
        </w:rPr>
        <w:lastRenderedPageBreak/>
        <w:t>equipment, and Pexip WebApp3</w:t>
      </w:r>
      <w:r w:rsidR="001F21F0">
        <w:rPr>
          <w:rFonts w:ascii="Times New Roman" w:eastAsia="Times New Roman" w:hAnsi="Times New Roman" w:cs="Times New Roman"/>
          <w:kern w:val="0"/>
          <w14:ligatures w14:val="none"/>
        </w:rPr>
        <w:t xml:space="preserve">, </w:t>
      </w:r>
      <w:r w:rsidR="001F21F0" w:rsidRPr="001F21F0">
        <w:rPr>
          <w:rFonts w:ascii="Times New Roman" w:eastAsia="Times New Roman" w:hAnsi="Times New Roman" w:cs="Times New Roman"/>
          <w:kern w:val="0"/>
          <w14:ligatures w14:val="none"/>
        </w:rPr>
        <w:t>or similar browser-based platform</w:t>
      </w:r>
      <w:r w:rsidR="001F21F0">
        <w:rPr>
          <w:rFonts w:ascii="Times New Roman" w:eastAsia="Times New Roman" w:hAnsi="Times New Roman" w:cs="Times New Roman"/>
          <w:kern w:val="0"/>
          <w14:ligatures w14:val="none"/>
        </w:rPr>
        <w:t>,</w:t>
      </w:r>
      <w:r w:rsidRPr="00712DAD">
        <w:rPr>
          <w:rFonts w:ascii="Times New Roman" w:eastAsia="Times New Roman" w:hAnsi="Times New Roman" w:cs="Times New Roman"/>
          <w:kern w:val="0"/>
          <w14:ligatures w14:val="none"/>
        </w:rPr>
        <w:t xml:space="preserve"> access.</w:t>
      </w:r>
    </w:p>
    <w:p w14:paraId="009FF1D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30D8672" w14:textId="4331A63D"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The contractor shall provide all contractor-furnished systems, platforms, personnel, and support necessary to interoperate with SSA's approved environment. The contractor shall not be responsible for operation, maintenance, or performance of SSA-furnished local network connectivity, end-user devices, or internal SSA systems, except to the extent the contractor must coordinate with SSA to </w:t>
      </w:r>
      <w:proofErr w:type="gramStart"/>
      <w:r w:rsidRPr="00712DAD">
        <w:rPr>
          <w:rFonts w:ascii="Times New Roman" w:eastAsia="Times New Roman" w:hAnsi="Times New Roman" w:cs="Times New Roman"/>
          <w:kern w:val="0"/>
          <w14:ligatures w14:val="none"/>
        </w:rPr>
        <w:t>troubleshoot</w:t>
      </w:r>
      <w:proofErr w:type="gramEnd"/>
      <w:r w:rsidRPr="00712DAD">
        <w:rPr>
          <w:rFonts w:ascii="Times New Roman" w:eastAsia="Times New Roman" w:hAnsi="Times New Roman" w:cs="Times New Roman"/>
          <w:kern w:val="0"/>
          <w14:ligatures w14:val="none"/>
        </w:rPr>
        <w:t xml:space="preserve"> interoperability or service access issues.</w:t>
      </w:r>
    </w:p>
    <w:p w14:paraId="08EB85E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E7BCC2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 xml:space="preserve">B-7 </w:t>
      </w:r>
      <w:r w:rsidRPr="00712DAD">
        <w:rPr>
          <w:rFonts w:ascii="Times New Roman" w:eastAsia="Times New Roman" w:hAnsi="Times New Roman" w:cs="Times New Roman"/>
          <w:b/>
          <w:bCs/>
          <w:kern w:val="0"/>
          <w14:ligatures w14:val="none"/>
        </w:rPr>
        <w:tab/>
        <w:t>TECHNICAL REQUIREMENTS</w:t>
      </w:r>
    </w:p>
    <w:p w14:paraId="7E53302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86BD4D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provide a secure encrypted virtual private network (VPN) connection via the Internet, or other SSA-approved secure connectivity method, to enable VRI services that are compatible with SSA's approved technical environment.</w:t>
      </w:r>
    </w:p>
    <w:p w14:paraId="3BD1E3D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E1ED33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At a minimum, the contractor shall:</w:t>
      </w:r>
    </w:p>
    <w:p w14:paraId="7F991D6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00AA69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7.1. Provide fully compatible online audio and video service that interoperates with SSA's environment through secure encrypted Internet-based connectivity using SSA-approved access methods.</w:t>
      </w:r>
    </w:p>
    <w:p w14:paraId="23A6513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E867AB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7.2. Support interoperability with:</w:t>
      </w:r>
    </w:p>
    <w:p w14:paraId="481E2F6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90E088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7.2.1. HP/Poly video endpoints utilizing SIP protocol with TLS and AES encryption.</w:t>
      </w:r>
    </w:p>
    <w:p w14:paraId="3A69985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005A95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7.2.2. Cisco video endpoints utilizing SIP protocol with TLS and AES encryption.</w:t>
      </w:r>
    </w:p>
    <w:p w14:paraId="743DDB0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3B1BDF3" w14:textId="743B3160" w:rsidR="00712DAD" w:rsidRDefault="001F21F0" w:rsidP="001F21F0">
      <w:pPr>
        <w:widowControl w:val="0"/>
        <w:autoSpaceDE w:val="0"/>
        <w:autoSpaceDN w:val="0"/>
        <w:adjustRightInd w:val="0"/>
        <w:spacing w:after="0" w:line="240" w:lineRule="auto"/>
        <w:ind w:left="300"/>
        <w:rPr>
          <w:rFonts w:ascii="Times New Roman" w:eastAsia="Times New Roman" w:hAnsi="Times New Roman" w:cs="Times New Roman"/>
          <w:kern w:val="0"/>
          <w14:ligatures w14:val="none"/>
        </w:rPr>
      </w:pPr>
      <w:r w:rsidRPr="001F21F0">
        <w:rPr>
          <w:rFonts w:ascii="Times New Roman" w:eastAsia="Times New Roman" w:hAnsi="Times New Roman" w:cs="Times New Roman"/>
          <w:kern w:val="0"/>
          <w14:ligatures w14:val="none"/>
        </w:rPr>
        <w:t>7.2.3. Browser-based access through Pexip WebApp3, or similar browser-based access platform, utilizing WebRTC and SIP, as applicable, with TLS and AES encryption.</w:t>
      </w:r>
    </w:p>
    <w:p w14:paraId="55247F79" w14:textId="77777777" w:rsidR="001F21F0" w:rsidRPr="00712DAD" w:rsidRDefault="001F21F0"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4D0F5B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7.3. Fully support a minimum of 50 concurrent calls at 1024 kbps (HD quality video) per call.</w:t>
      </w:r>
    </w:p>
    <w:p w14:paraId="5F6FFAD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5F7309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7.4. Be capable of expanding above 50 concurrent calls within 30 calendar days after SSA request, subject to contract terms and funding.</w:t>
      </w:r>
    </w:p>
    <w:p w14:paraId="5710284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1E6560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7.5. Maintain compatibility, quality, and security of VRI service throughout the period of performance by adapting service to meet requirements arising from technological improvements or vulnerabilities.</w:t>
      </w:r>
    </w:p>
    <w:p w14:paraId="1C7F3EC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89767C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7.6. Provide advance notice to SSA of any contractor-initiated infrastructure, platform, routing, or interoperability changes that may affect SSA's ability to access or use the service.</w:t>
      </w:r>
    </w:p>
    <w:p w14:paraId="4374115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6C9C8E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7.7. Coordinate with SSA and successfully test any changes that may materially affect service delivery before implementation in the production environment.</w:t>
      </w:r>
    </w:p>
    <w:p w14:paraId="162C929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7009AC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7.8. Provide an Agency-approved routing, numbering, or office identification method sufficient to associate VRI sessions with originating SSA offices or access points for reporting, billing </w:t>
      </w:r>
      <w:r w:rsidRPr="00712DAD">
        <w:rPr>
          <w:rFonts w:ascii="Times New Roman" w:eastAsia="Times New Roman" w:hAnsi="Times New Roman" w:cs="Times New Roman"/>
          <w:kern w:val="0"/>
          <w14:ligatures w14:val="none"/>
        </w:rPr>
        <w:lastRenderedPageBreak/>
        <w:t>verification, and operations support.</w:t>
      </w:r>
    </w:p>
    <w:p w14:paraId="7D3F6C2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5262C6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7.9. Provide a named technical point of contact to support implementation, troubleshooting, service interruptions, and disaster recovery coordination.</w:t>
      </w:r>
    </w:p>
    <w:p w14:paraId="24814EE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FBC6FE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7.10. Provide backup and failover capability to maintain or restore contractor-provided VRI services in the event of contractor system problems, disasters, or outages that affect SSA's ability to connect to the service.</w:t>
      </w:r>
    </w:p>
    <w:p w14:paraId="4B1C9F3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4140B3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 xml:space="preserve">B-8 </w:t>
      </w:r>
      <w:r w:rsidRPr="00712DAD">
        <w:rPr>
          <w:rFonts w:ascii="Times New Roman" w:eastAsia="Times New Roman" w:hAnsi="Times New Roman" w:cs="Times New Roman"/>
          <w:b/>
          <w:bCs/>
          <w:kern w:val="0"/>
          <w14:ligatures w14:val="none"/>
        </w:rPr>
        <w:tab/>
        <w:t>SECURITY AND PRIVACY REQUIREMENTS</w:t>
      </w:r>
    </w:p>
    <w:p w14:paraId="2FFE425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84336B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comply with all applicable federal laws, regulations, policies, and SSA requirements governing information security and privacy for federal contractors.</w:t>
      </w:r>
    </w:p>
    <w:p w14:paraId="55976FD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DAA3EA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At a minimum, the contractor shall:</w:t>
      </w:r>
    </w:p>
    <w:p w14:paraId="77328BA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9251AC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8.1. Protect all SSA-related information obtained, accessed, transmitted, or processed under this contract from unauthorized access, disclosure, use, modification, or destruction.</w:t>
      </w:r>
    </w:p>
    <w:p w14:paraId="4F802CD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345F07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8.2. Comply with applicable Federal Information Security Modernization Act (FISMA) requirements and other applicable federal privacy and security requirements.</w:t>
      </w:r>
    </w:p>
    <w:p w14:paraId="2D2667A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562955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8.3. Comply with applicable FedRAMP and HIPAA requirements, if applicable to the contractor's solution or performance.</w:t>
      </w:r>
    </w:p>
    <w:p w14:paraId="2208BD4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452BC0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8.4. Ensure that contractor personnel and subcontractor personnel who may have access to SSA-related information receive appropriate privacy, confidentiality, and security training before performing under the contract.</w:t>
      </w:r>
    </w:p>
    <w:p w14:paraId="3504A4A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E2D460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8.5. Advise all interpreters and other applicable personnel of the safeguards required to protect confidential information and of the civil and criminal sanctions for noncompliance under applicable federal law.</w:t>
      </w:r>
    </w:p>
    <w:p w14:paraId="79E5411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AFE8CB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8.6. Require interpreters and other applicable personnel to sign non-disclosure agreements or equivalent confidentiality statements. Such documentation shall be retained by the contractor and made available to SSA upon request.</w:t>
      </w:r>
    </w:p>
    <w:p w14:paraId="4269D48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10A01F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8.7. Prohibit recording, retaining, monitoring for content, or disclosing the substance of interpreted sessions unless expressly authorized in writing by SSA.</w:t>
      </w:r>
    </w:p>
    <w:p w14:paraId="27FB892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7C8634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8.8. Report any actual or suspected loss, breach, compromise, or unauthorized disclosure of personally identifiable information (PII), as well as any actual or suspected security incident affecting SSA information or services, to the SSA Contracting Officer's Representative (COR) immediately upon discovery and in accordance with contract terms.</w:t>
      </w:r>
    </w:p>
    <w:p w14:paraId="5D95355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02B49F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8.9. Cooperate fully with SSA in incident reporting, containment, mitigation, investigation, </w:t>
      </w:r>
      <w:r w:rsidRPr="00712DAD">
        <w:rPr>
          <w:rFonts w:ascii="Times New Roman" w:eastAsia="Times New Roman" w:hAnsi="Times New Roman" w:cs="Times New Roman"/>
          <w:kern w:val="0"/>
          <w14:ligatures w14:val="none"/>
        </w:rPr>
        <w:lastRenderedPageBreak/>
        <w:t>corrective action, and recovery activities.</w:t>
      </w:r>
    </w:p>
    <w:p w14:paraId="57C0F43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0652B3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8.10. Flow down all applicable security and privacy requirements to subcontractors.</w:t>
      </w:r>
    </w:p>
    <w:p w14:paraId="6437728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E32BDC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8.11. Adhere to SSA direction regarding incident response actions, including emergency disconnection of interfaces where necessary to protect SSA systems or information.</w:t>
      </w:r>
    </w:p>
    <w:p w14:paraId="3BA74F5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C9C74F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8.12. Permit SSA to assess contractor compliance with applicable security and privacy requirements, including review of relevant plans, procedures, and controls, and on-site inspection where authorized by the contract.</w:t>
      </w:r>
    </w:p>
    <w:p w14:paraId="3940A4F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00655A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B-9</w:t>
      </w:r>
      <w:r w:rsidRPr="00712DAD">
        <w:rPr>
          <w:rFonts w:ascii="Times New Roman" w:eastAsia="Times New Roman" w:hAnsi="Times New Roman" w:cs="Times New Roman"/>
          <w:b/>
          <w:bCs/>
          <w:kern w:val="0"/>
          <w14:ligatures w14:val="none"/>
        </w:rPr>
        <w:tab/>
        <w:t xml:space="preserve"> SERVICE AVAILABILITY AND CALL HANDLING REQUIREMENTS</w:t>
      </w:r>
    </w:p>
    <w:p w14:paraId="0E10B60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2249DB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provide on-demand VRI services during SSA operating hours, currently 8:00 a.m. Eastern Time through 10:00 p.m. Eastern Time, Monday through Friday, excluding federal holidays, unless otherwise authorized by SSA.</w:t>
      </w:r>
    </w:p>
    <w:p w14:paraId="41C23A5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344848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provide coverage sufficient to support SSA offices across applicable U.S. time zones, territories, and designated FBUs during required operating hours. The contractor shall be capable of supporting expanded coverage if specifically requested by SSA.</w:t>
      </w:r>
    </w:p>
    <w:p w14:paraId="069D0AF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1BB142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9.1. On-Demand Service Levels</w:t>
      </w:r>
    </w:p>
    <w:p w14:paraId="1100F54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CCDBDB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For on-demand calls, the contractor shall:</w:t>
      </w:r>
    </w:p>
    <w:p w14:paraId="2BF30B8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60E77B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9.1.1. Ensure that average hold time does not exceed two (2) minutes during each monthly reporting period.</w:t>
      </w:r>
    </w:p>
    <w:p w14:paraId="14126A8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18CF9A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9.1.2. Maintain staffing and technical capacity sufficient to support required service levels and concurrent call volumes.</w:t>
      </w:r>
    </w:p>
    <w:p w14:paraId="38537D1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5F30FB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9.1.3. Track and report hold-time performance in accordance with Section 17.</w:t>
      </w:r>
    </w:p>
    <w:p w14:paraId="08AE749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7BC673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9.2. General Call Handling Requirements</w:t>
      </w:r>
    </w:p>
    <w:p w14:paraId="01D00A4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526740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w:t>
      </w:r>
    </w:p>
    <w:p w14:paraId="4F3EC3A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5E5DA7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9.2.1. Provide a welcome screen for each call that identifies the contractor's name and the estimated waiting time.</w:t>
      </w:r>
    </w:p>
    <w:p w14:paraId="4DFA71B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BE9C16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9.2.2. Ensure that each interpreter is assigned a unique identifier.</w:t>
      </w:r>
    </w:p>
    <w:p w14:paraId="71ACE47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0C623A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9.2.3. Require each interpreter to provide the assigned unique identifier at the beginning of each session.</w:t>
      </w:r>
    </w:p>
    <w:p w14:paraId="1C52263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690EB7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9.2.4. Provide an alternate interpreter when a customer is unable to communicate effectively with </w:t>
      </w:r>
      <w:r w:rsidRPr="00712DAD">
        <w:rPr>
          <w:rFonts w:ascii="Times New Roman" w:eastAsia="Times New Roman" w:hAnsi="Times New Roman" w:cs="Times New Roman"/>
          <w:kern w:val="0"/>
          <w14:ligatures w14:val="none"/>
        </w:rPr>
        <w:lastRenderedPageBreak/>
        <w:t>the initially assigned interpreter.</w:t>
      </w:r>
    </w:p>
    <w:p w14:paraId="50A5114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7940E8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9.2.5. Provide CDI support or additional signed language support when required for effective communication.</w:t>
      </w:r>
    </w:p>
    <w:p w14:paraId="35FF47E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D7685D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9.2.6. Provide interpreter rotation as needed to maintain effective communication and service continuity.</w:t>
      </w:r>
    </w:p>
    <w:p w14:paraId="66F88A6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7E2655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9.2.7. Ensure that any interruption in service caused by interpreter rotation does not exceed three (3) minutes.</w:t>
      </w:r>
    </w:p>
    <w:p w14:paraId="73567ED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84DD05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9.2.8. Ensure that users do not experience avoidable delays due to insufficient contractor staffing or capacity.</w:t>
      </w:r>
    </w:p>
    <w:p w14:paraId="3C3E240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6F8B72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9.3. Scheduled Services</w:t>
      </w:r>
    </w:p>
    <w:p w14:paraId="7E97E74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49075E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If SSA requests scheduled VRI services, the contractor shall accept requests through an SSA-approved scheduling method, such as helpdesk, email, or online scheduling system.</w:t>
      </w:r>
    </w:p>
    <w:p w14:paraId="5507A9A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20384B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For requests submitted at least 48 business hours in advance of the requested appointment time, the contractor shall either confirm the request or notify SSA that the request cannot be supported no later than one (1) business day after receipt of the request. If the contractor does not notify SSA within that period that the request cannot be supported, the request shall be deemed accepted and the contractor shall ensure interpreter availability for the scheduled time.</w:t>
      </w:r>
    </w:p>
    <w:p w14:paraId="7C074AA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EC7D14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9.4. Non-Billable Calls</w:t>
      </w:r>
    </w:p>
    <w:p w14:paraId="12B40D6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073BB6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Calls lasting less than one (1) minute, accidental calls, authorized test calls, and calls that do not connect to a qualified interpreter shall be non-billable.</w:t>
      </w:r>
    </w:p>
    <w:p w14:paraId="12E9501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BB2248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B-10</w:t>
      </w:r>
      <w:r w:rsidRPr="00712DAD">
        <w:rPr>
          <w:rFonts w:ascii="Times New Roman" w:eastAsia="Times New Roman" w:hAnsi="Times New Roman" w:cs="Times New Roman"/>
          <w:b/>
          <w:bCs/>
          <w:kern w:val="0"/>
          <w14:ligatures w14:val="none"/>
        </w:rPr>
        <w:tab/>
        <w:t xml:space="preserve"> CONTINUITY OF OPERATIONS AND DISASTER RECOVERY</w:t>
      </w:r>
    </w:p>
    <w:p w14:paraId="1C2FFBE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7E0855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maintain continuity of operations and disaster recovery capabilities sufficient to support restoration of contractor-provided service within the timeframes required by this SOW.</w:t>
      </w:r>
    </w:p>
    <w:p w14:paraId="7B6951E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2789E6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At a minimum, the contractor shall:</w:t>
      </w:r>
    </w:p>
    <w:p w14:paraId="3862B7C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E30402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10.1. Maintain a documented backup and recovery plan for outages or disruptions affecting SSA's ability to connect to VRI services.</w:t>
      </w:r>
    </w:p>
    <w:p w14:paraId="5C1903B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6B123A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10.2. Notify the SSA COR and designated technical point(s) of contact within 30 minutes of discovery of any outage or material degradation affecting SSA access to the service.</w:t>
      </w:r>
    </w:p>
    <w:p w14:paraId="14B1AE2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F7240D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10.3. Provide ongoing status updates to SSA at least every 60 minutes during outages or recovery activities until service is restored.</w:t>
      </w:r>
    </w:p>
    <w:p w14:paraId="5D2E66E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82F5E7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10.4. Restore VRI service within four (4) hours of any outage or disaster affecting SSA's ability to connect to the contractor's service, unless otherwise approved by SSA in writing.</w:t>
      </w:r>
    </w:p>
    <w:p w14:paraId="2C473F2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44E07F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10.5. Coordinate failover, testing, and restoration activities with SSA technical staff as required.</w:t>
      </w:r>
    </w:p>
    <w:p w14:paraId="009572C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0618F3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B-11</w:t>
      </w:r>
      <w:r w:rsidRPr="00712DAD">
        <w:rPr>
          <w:rFonts w:ascii="Times New Roman" w:eastAsia="Times New Roman" w:hAnsi="Times New Roman" w:cs="Times New Roman"/>
          <w:b/>
          <w:bCs/>
          <w:kern w:val="0"/>
          <w14:ligatures w14:val="none"/>
        </w:rPr>
        <w:tab/>
        <w:t xml:space="preserve"> IMPLEMENTATION, TRANSITION, AND TESTING</w:t>
      </w:r>
    </w:p>
    <w:p w14:paraId="39C0170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940826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support transition from the incumbent provider, implementation, interoperability testing, and production readiness.</w:t>
      </w:r>
    </w:p>
    <w:p w14:paraId="5AD6A9F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84343B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w:t>
      </w:r>
    </w:p>
    <w:p w14:paraId="4788CAC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5D7CFF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11.1. Participate in a kickoff meeting within ten (10) calendar days after contract award.</w:t>
      </w:r>
    </w:p>
    <w:p w14:paraId="23512B5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BF96E5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11.2. Provide a comprehensive testing and implementation plan for SSA review and approval no later than ten (10) calendar days after contract award.</w:t>
      </w:r>
    </w:p>
    <w:p w14:paraId="2B0A09F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B2D425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11.3. Coordinate with SSA technical personnel, including systems engineers and designated points of contact, to validate interoperability and production readiness.</w:t>
      </w:r>
    </w:p>
    <w:p w14:paraId="5256D5E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857DD2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11.4. Complete required testing within 30 calendar days after contract award, unless otherwise approved by SSA.</w:t>
      </w:r>
    </w:p>
    <w:p w14:paraId="0DCBCE6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EBAFA5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11.5. Correct any identified deficiencies within ten (10) calendar days after notification by SSA, unless otherwise approved by SSA.</w:t>
      </w:r>
    </w:p>
    <w:p w14:paraId="4622FE8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78A49F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11.6. Be prepared to provide full-scale production service no later than June 1, 2026.</w:t>
      </w:r>
    </w:p>
    <w:p w14:paraId="1F4578C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7374C8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11.7. Provide transition-in support sufficient to avoid interruption of service at the end of the incumbent contract.</w:t>
      </w:r>
    </w:p>
    <w:p w14:paraId="2F7F8F8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BB2795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contractor's testing and implementation plan shall include, at a minimum:</w:t>
      </w:r>
    </w:p>
    <w:p w14:paraId="18E536F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C7AD5C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11.8. Test scenarios covering interoperability, call setup, call completion, reporting, and service continuity.</w:t>
      </w:r>
    </w:p>
    <w:p w14:paraId="7F68460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E5260D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11.9. Test environment and assumptions.</w:t>
      </w:r>
    </w:p>
    <w:p w14:paraId="195AE9A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FC2B70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11.10. Test cases and procedures.</w:t>
      </w:r>
    </w:p>
    <w:p w14:paraId="7BF4A86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3EDC3A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11.11. Expected results and acceptance criteria.</w:t>
      </w:r>
    </w:p>
    <w:p w14:paraId="03787D5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06C728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11.12. Performance and load testing approach.</w:t>
      </w:r>
    </w:p>
    <w:p w14:paraId="1B737B2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848E25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11.13. Issue tracking and resolution process.</w:t>
      </w:r>
    </w:p>
    <w:p w14:paraId="5F1FBC2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F8320B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11.14. Reporting format for test results.</w:t>
      </w:r>
    </w:p>
    <w:p w14:paraId="448B6E9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41F5E3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B-12</w:t>
      </w:r>
      <w:r w:rsidRPr="00712DAD">
        <w:rPr>
          <w:rFonts w:ascii="Times New Roman" w:eastAsia="Times New Roman" w:hAnsi="Times New Roman" w:cs="Times New Roman"/>
          <w:b/>
          <w:bCs/>
          <w:kern w:val="0"/>
          <w14:ligatures w14:val="none"/>
        </w:rPr>
        <w:tab/>
        <w:t xml:space="preserve"> HELPDESK AND USER SUPPORT</w:t>
      </w:r>
    </w:p>
    <w:p w14:paraId="326E546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DA7AC0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provide user and technical support necessary to ensure effective use of the VRI service.</w:t>
      </w:r>
    </w:p>
    <w:p w14:paraId="347FA1D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F70CDB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At a minimum, the contractor shall:</w:t>
      </w:r>
    </w:p>
    <w:p w14:paraId="45917F3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9CA134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12.1. Provide helpdesk support for SSA personnel by toll-free telephone and email and may also provide a web-based support portal.</w:t>
      </w:r>
    </w:p>
    <w:p w14:paraId="5851A03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E7D5FA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12.2. Provide helpdesk support during required service hours.</w:t>
      </w:r>
    </w:p>
    <w:p w14:paraId="3ACAC66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029731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12.3. Provide at least two points of contact, which may be named individuals or functional mailboxes, for each of the following:</w:t>
      </w:r>
    </w:p>
    <w:p w14:paraId="2131433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9ECC3E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12.3.1. Invoice or billing questions.</w:t>
      </w:r>
    </w:p>
    <w:p w14:paraId="0B25AD0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F6C7DB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12.3.2. Technical issues.</w:t>
      </w:r>
    </w:p>
    <w:p w14:paraId="401F1BC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479CD1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12.3.3. Customer service issues.</w:t>
      </w:r>
    </w:p>
    <w:p w14:paraId="4FBE4B8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264D8F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12.4. Develop and provide simple instructional materials, such as a user guide or quick-reference instructions, describing how SSA personnel can initiate and use VRI service through approved SSA equipment and access methods.</w:t>
      </w:r>
    </w:p>
    <w:p w14:paraId="01E3F11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0A4E12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B-13</w:t>
      </w:r>
      <w:r w:rsidRPr="00712DAD">
        <w:rPr>
          <w:rFonts w:ascii="Times New Roman" w:eastAsia="Times New Roman" w:hAnsi="Times New Roman" w:cs="Times New Roman"/>
          <w:b/>
          <w:bCs/>
          <w:kern w:val="0"/>
          <w14:ligatures w14:val="none"/>
        </w:rPr>
        <w:tab/>
        <w:t xml:space="preserve"> ACCESSIBILITY REQUIREMENTS</w:t>
      </w:r>
    </w:p>
    <w:p w14:paraId="705DD72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B12EE8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ensure that any contractor-furnished user interface, website, portal, dashboard, or other digital service provided under this contract complies with applicable accessibility requirements, including Section 508 requirements as applicable.</w:t>
      </w:r>
    </w:p>
    <w:p w14:paraId="0056378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69CA7C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Government-furnished hardware, software, and internal SSA platforms are outside the scope of the contractor's Section 508 responsibility unless otherwise expressly stated.</w:t>
      </w:r>
    </w:p>
    <w:p w14:paraId="42DE766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B71638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Upon request, the contractor shall provide current accessibility documentation for contractor-furnished interfaces, portals, dashboards, or other digital services provided under the contract.</w:t>
      </w:r>
    </w:p>
    <w:p w14:paraId="78054E9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EA521E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B-14</w:t>
      </w:r>
      <w:r w:rsidRPr="00712DAD">
        <w:rPr>
          <w:rFonts w:ascii="Times New Roman" w:eastAsia="Times New Roman" w:hAnsi="Times New Roman" w:cs="Times New Roman"/>
          <w:b/>
          <w:bCs/>
          <w:kern w:val="0"/>
          <w14:ligatures w14:val="none"/>
        </w:rPr>
        <w:tab/>
        <w:t xml:space="preserve"> INTERPRETER REQUIREMENTS</w:t>
      </w:r>
    </w:p>
    <w:p w14:paraId="2013023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449140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All interpreters performing under this contract, whether employed directly by the contractor or by subcontractors, shall be physically located within the United States.</w:t>
      </w:r>
    </w:p>
    <w:p w14:paraId="529344A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6BCFC1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w:t>
      </w:r>
    </w:p>
    <w:p w14:paraId="4B2057F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2DACB5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14.1. Provide interpreters who are qualified, professionally competent, and capable of supporting SSA customer interactions.</w:t>
      </w:r>
    </w:p>
    <w:p w14:paraId="0EB775B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F2BAE4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14.2. Provide interpreters with training on confidentiality, privacy, and handling of sensitive information applicable to SSA interactions.</w:t>
      </w:r>
    </w:p>
    <w:p w14:paraId="39CA51A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1AB6EC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14.3. Provide interpreters with SSA-furnished glossaries, acronyms, and general program materials, as provided by the Agency.</w:t>
      </w:r>
    </w:p>
    <w:p w14:paraId="48C58C7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DAB096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14.4. Ensure interpreters are fluent in English as used in the United States.</w:t>
      </w:r>
    </w:p>
    <w:p w14:paraId="0594692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9936BA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14.5. Ensure interpreters have training, experience, or demonstrated working knowledge of U.S. cultural, legal, medical, and government terminology relevant to communication in SSA environments.</w:t>
      </w:r>
    </w:p>
    <w:p w14:paraId="179638D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90E7E8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14.6. Provide on-demand CDI support when needed for effective communication. *In FY 25, 335 out of 8,657 sessions (3.87%) required the use of a CDI. During that same period, 10,504.61 out of 135,500.69 interpreter minutes (7.75%) were performed by a CDI. </w:t>
      </w:r>
    </w:p>
    <w:p w14:paraId="3C1890E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57CC16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w:t>
      </w:r>
      <w:r w:rsidRPr="00712DAD">
        <w:rPr>
          <w:rFonts w:ascii="Times New Roman" w:eastAsia="Times New Roman" w:hAnsi="Times New Roman" w:cs="Times New Roman"/>
          <w:i/>
          <w:iCs/>
          <w:kern w:val="0"/>
          <w14:ligatures w14:val="none"/>
        </w:rPr>
        <w:t>Historical usage data is provided for informational purposes only to reflect prior utilization patterns. This information is not a projection, guarantee, or estimate of future requirements. Actual usage will be based on operational needs.</w:t>
      </w:r>
    </w:p>
    <w:p w14:paraId="6E15003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6B6D9E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B-15</w:t>
      </w:r>
      <w:r w:rsidRPr="00712DAD">
        <w:rPr>
          <w:rFonts w:ascii="Times New Roman" w:eastAsia="Times New Roman" w:hAnsi="Times New Roman" w:cs="Times New Roman"/>
          <w:b/>
          <w:bCs/>
          <w:kern w:val="0"/>
          <w14:ligatures w14:val="none"/>
        </w:rPr>
        <w:tab/>
        <w:t xml:space="preserve"> INTERPRETER QUALIFICATIONS</w:t>
      </w:r>
    </w:p>
    <w:p w14:paraId="1FD1961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6777B7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provide interpretation services through individuals who meet the following minimum qualifications:</w:t>
      </w:r>
    </w:p>
    <w:p w14:paraId="70C799C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4627D0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15.1. Interpreters providing ASL services shall hold current certification from the Registry of Interpreters for the Deaf (RID), including National Interpreter Certification (NIC), or applicable legacy RID certifications.</w:t>
      </w:r>
    </w:p>
    <w:p w14:paraId="4163F99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36C0E7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15.2. Certified Deaf Interpreters shall hold a current RID CDI credential.</w:t>
      </w:r>
    </w:p>
    <w:p w14:paraId="5373026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E30253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15.3. Interpreters shall comply with applicable federal and state professional practice requirements.</w:t>
      </w:r>
    </w:p>
    <w:p w14:paraId="180FF21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6C6363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15.4. Interpreters shall adhere to the RID Code of Professional Conduct throughout the period of performance.</w:t>
      </w:r>
    </w:p>
    <w:p w14:paraId="6D1BA79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8FA09A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15.5. Interpreters shall maintain active certification status throughout the period of performance.</w:t>
      </w:r>
    </w:p>
    <w:p w14:paraId="0B50260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CCEB6E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15.6. The contractor shall ensure interpreters have experience or training relevant to settings comparable to SSA customer service environments and understand professional expectations applicable to government-facing interpreting work.</w:t>
      </w:r>
    </w:p>
    <w:p w14:paraId="414B7AC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7B233B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SSA reserves the right to request proof of interpreter certification and to conduct periodic compliance reviews or audits.</w:t>
      </w:r>
    </w:p>
    <w:p w14:paraId="5A76738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D3BEF6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provide SSA with an initial certification statement confirming compliance with interpreter qualification requirements. The contractor shall provide updated certification statements every six (6) months thereafter.</w:t>
      </w:r>
    </w:p>
    <w:p w14:paraId="4F5BC33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E5DFB4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B-16</w:t>
      </w:r>
      <w:r w:rsidRPr="00712DAD">
        <w:rPr>
          <w:rFonts w:ascii="Times New Roman" w:eastAsia="Times New Roman" w:hAnsi="Times New Roman" w:cs="Times New Roman"/>
          <w:b/>
          <w:bCs/>
          <w:kern w:val="0"/>
          <w14:ligatures w14:val="none"/>
        </w:rPr>
        <w:tab/>
        <w:t xml:space="preserve"> INTERPRETER RESPONSIBILITIES</w:t>
      </w:r>
    </w:p>
    <w:p w14:paraId="467E109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D4F280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For each call, the interpreter shall:</w:t>
      </w:r>
    </w:p>
    <w:p w14:paraId="10BE7C3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6B0195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16.1. Provide complete and accurate interpretation without omission, addition, inference, or advocacy.</w:t>
      </w:r>
    </w:p>
    <w:p w14:paraId="5CC8931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5BECE3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16.2. Remain impartial.</w:t>
      </w:r>
    </w:p>
    <w:p w14:paraId="53F9E20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462174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16.3. Maintain confidentiality.</w:t>
      </w:r>
    </w:p>
    <w:p w14:paraId="32235FE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223C0D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16.4. Provide the assigned unique interpreter identifier at the beginning of the session.</w:t>
      </w:r>
    </w:p>
    <w:p w14:paraId="00AAE03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668501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16.5. Recognize when additional support may be needed for effective communication and notify the contractor in accordance with contractor procedures.</w:t>
      </w:r>
    </w:p>
    <w:p w14:paraId="5AD6098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0377C2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16.6. Demonstrate working knowledge of SSA-provided glossaries, acronyms, and program terminology provided by the Agency.</w:t>
      </w:r>
    </w:p>
    <w:p w14:paraId="4BA3637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62B06D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B-17</w:t>
      </w:r>
      <w:r w:rsidRPr="00712DAD">
        <w:rPr>
          <w:rFonts w:ascii="Times New Roman" w:eastAsia="Times New Roman" w:hAnsi="Times New Roman" w:cs="Times New Roman"/>
          <w:b/>
          <w:bCs/>
          <w:kern w:val="0"/>
          <w14:ligatures w14:val="none"/>
        </w:rPr>
        <w:tab/>
        <w:t xml:space="preserve"> REPORTING REQUIREMENTS</w:t>
      </w:r>
    </w:p>
    <w:p w14:paraId="4BB2850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AA6415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provide reporting sufficient to support performance monitoring, invoice validation, quality assurance, and program management.</w:t>
      </w:r>
    </w:p>
    <w:p w14:paraId="7725CB1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FEC664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All reported times shall be provided </w:t>
      </w:r>
      <w:proofErr w:type="gramStart"/>
      <w:r w:rsidRPr="00712DAD">
        <w:rPr>
          <w:rFonts w:ascii="Times New Roman" w:eastAsia="Times New Roman" w:hAnsi="Times New Roman" w:cs="Times New Roman"/>
          <w:kern w:val="0"/>
          <w14:ligatures w14:val="none"/>
        </w:rPr>
        <w:t>in</w:t>
      </w:r>
      <w:proofErr w:type="gramEnd"/>
      <w:r w:rsidRPr="00712DAD">
        <w:rPr>
          <w:rFonts w:ascii="Times New Roman" w:eastAsia="Times New Roman" w:hAnsi="Times New Roman" w:cs="Times New Roman"/>
          <w:kern w:val="0"/>
          <w14:ligatures w14:val="none"/>
        </w:rPr>
        <w:t xml:space="preserve"> Eastern Time.</w:t>
      </w:r>
    </w:p>
    <w:p w14:paraId="2B1C8BA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125979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17.1. Monthly Invoice Support Report</w:t>
      </w:r>
    </w:p>
    <w:p w14:paraId="1A35A8F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79EEFA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No later than the 10th calendar day of each month, the contractor shall provide a monthly report covering the prior month in Microsoft </w:t>
      </w:r>
      <w:proofErr w:type="gramStart"/>
      <w:r w:rsidRPr="00712DAD">
        <w:rPr>
          <w:rFonts w:ascii="Times New Roman" w:eastAsia="Times New Roman" w:hAnsi="Times New Roman" w:cs="Times New Roman"/>
          <w:kern w:val="0"/>
          <w14:ligatures w14:val="none"/>
        </w:rPr>
        <w:t>Excel (.</w:t>
      </w:r>
      <w:proofErr w:type="gramEnd"/>
      <w:r w:rsidRPr="00712DAD">
        <w:rPr>
          <w:rFonts w:ascii="Times New Roman" w:eastAsia="Times New Roman" w:hAnsi="Times New Roman" w:cs="Times New Roman"/>
          <w:kern w:val="0"/>
          <w14:ligatures w14:val="none"/>
        </w:rPr>
        <w:t>xlsx) format, unless otherwise approved by SSA. The report shall include:</w:t>
      </w:r>
    </w:p>
    <w:p w14:paraId="475CD7A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FCA457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17.1.1. Reporting period.</w:t>
      </w:r>
    </w:p>
    <w:p w14:paraId="1DD90C3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AB6E6E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17.1.2. Total number of call connections.</w:t>
      </w:r>
    </w:p>
    <w:p w14:paraId="45C54A5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CC0DED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17.1.3. Average hold time for the reporting period.</w:t>
      </w:r>
    </w:p>
    <w:p w14:paraId="4E30C62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02E91E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lastRenderedPageBreak/>
        <w:t>17.1.4. For each call:</w:t>
      </w:r>
    </w:p>
    <w:p w14:paraId="55A0D6B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659E50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17.1.4.1. Unique session or call identifier.</w:t>
      </w:r>
    </w:p>
    <w:p w14:paraId="11B3058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BE794F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17.1.4.2. Date of call.</w:t>
      </w:r>
    </w:p>
    <w:p w14:paraId="1E4A6C7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82F2B6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17.1.4.3. Time of session initiation.</w:t>
      </w:r>
    </w:p>
    <w:p w14:paraId="34A0EE0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CD853B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17.1.4.4. Hold time or wait time before interpreter connection.</w:t>
      </w:r>
    </w:p>
    <w:p w14:paraId="320F7C4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71F748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17.1.4.5. Time of interpreter connection.</w:t>
      </w:r>
    </w:p>
    <w:p w14:paraId="2CC541F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68191E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17.1.4.6. Duration of interpreter connection in minutes.</w:t>
      </w:r>
    </w:p>
    <w:p w14:paraId="53C7229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9869BE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17.1.4.7. Origin of call, identified by office name, city, state, region, and Agency office code, where available.</w:t>
      </w:r>
    </w:p>
    <w:p w14:paraId="5C17A45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2096D8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17.1.4.8. Routing identifier, access number, dial string, or other SSA-approved originating identifier, where applicable.</w:t>
      </w:r>
    </w:p>
    <w:p w14:paraId="0EBAF96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5FDE05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17.1.4.9. Unique interpreter identifier.</w:t>
      </w:r>
    </w:p>
    <w:p w14:paraId="67937AB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FD7788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17.1.4.10. Language used.</w:t>
      </w:r>
    </w:p>
    <w:p w14:paraId="28388A4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C1E4D9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17.1.4.11. Whether a CDI was used.</w:t>
      </w:r>
    </w:p>
    <w:p w14:paraId="51946F3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67BF33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17.1.4.12. Total billable time for the call.</w:t>
      </w:r>
    </w:p>
    <w:p w14:paraId="1C2D609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3DF46C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     17.1.4.13. Total billable cost for the call.</w:t>
      </w:r>
    </w:p>
    <w:p w14:paraId="77AA92B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5CC25B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17.1.5. Total billable minutes for the reporting period.</w:t>
      </w:r>
    </w:p>
    <w:p w14:paraId="63CFBB3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34E0FB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17.1.6. Total invoice amount for the reporting period.</w:t>
      </w:r>
    </w:p>
    <w:p w14:paraId="54BE889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C8A2AB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17.2. Semiannual Performance Report</w:t>
      </w:r>
    </w:p>
    <w:p w14:paraId="4B96B5D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FCA7B0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The contractor shall provide a semiannual report in Microsoft </w:t>
      </w:r>
      <w:proofErr w:type="gramStart"/>
      <w:r w:rsidRPr="00712DAD">
        <w:rPr>
          <w:rFonts w:ascii="Times New Roman" w:eastAsia="Times New Roman" w:hAnsi="Times New Roman" w:cs="Times New Roman"/>
          <w:kern w:val="0"/>
          <w14:ligatures w14:val="none"/>
        </w:rPr>
        <w:t>Excel (.</w:t>
      </w:r>
      <w:proofErr w:type="gramEnd"/>
      <w:r w:rsidRPr="00712DAD">
        <w:rPr>
          <w:rFonts w:ascii="Times New Roman" w:eastAsia="Times New Roman" w:hAnsi="Times New Roman" w:cs="Times New Roman"/>
          <w:kern w:val="0"/>
          <w14:ligatures w14:val="none"/>
        </w:rPr>
        <w:t>xlsx) format covering each six-month period of performance. The report shall include:</w:t>
      </w:r>
    </w:p>
    <w:p w14:paraId="45DF974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DBBA53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17.2.1. Reporting period.</w:t>
      </w:r>
    </w:p>
    <w:p w14:paraId="12BDCC5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6557A5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17.2.2. Total number of call connections.</w:t>
      </w:r>
    </w:p>
    <w:p w14:paraId="6842B5F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24CA41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17.2.3. Average hold time.</w:t>
      </w:r>
    </w:p>
    <w:p w14:paraId="313F155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C236DE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17.2.4. Summary metrics by day of week and time of day, if available.</w:t>
      </w:r>
    </w:p>
    <w:p w14:paraId="563CC81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4D597A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17.2.5. Cumulative data for all participating SSA offices in a format specified or approved by SSA.</w:t>
      </w:r>
    </w:p>
    <w:p w14:paraId="412919A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0C9BF8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17.3. Customer Feedback Report</w:t>
      </w:r>
    </w:p>
    <w:p w14:paraId="36C6AB0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E9B78A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provide a monthly summary of feedback received through the contractor's feedback mechanism no later than the 10th calendar day of each month. The summary shall include, to the extent available:</w:t>
      </w:r>
    </w:p>
    <w:p w14:paraId="2D71052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3DF522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17.3.1. Field office name.</w:t>
      </w:r>
    </w:p>
    <w:p w14:paraId="095F89B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13332B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17.3.2. Site code.</w:t>
      </w:r>
    </w:p>
    <w:p w14:paraId="142E167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71F8CB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17.3.3. Date submitted.</w:t>
      </w:r>
    </w:p>
    <w:p w14:paraId="20674ED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6490EB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17.3.4. Positive and negative comments.</w:t>
      </w:r>
    </w:p>
    <w:p w14:paraId="2BC720B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13E948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17.4. Sample Reports</w:t>
      </w:r>
    </w:p>
    <w:p w14:paraId="28D3B6B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D143CA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Within ten (10) calendar days after contract award, the contractor shall provide sample versions of required reports to the SSA COR and shall work with SSA to finalize the report format. Report formats may be updated during contract performance upon mutual agreement of the parties.</w:t>
      </w:r>
    </w:p>
    <w:p w14:paraId="6C67ADC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082A6B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B-18</w:t>
      </w:r>
      <w:r w:rsidRPr="00712DAD">
        <w:rPr>
          <w:rFonts w:ascii="Times New Roman" w:eastAsia="Times New Roman" w:hAnsi="Times New Roman" w:cs="Times New Roman"/>
          <w:b/>
          <w:bCs/>
          <w:kern w:val="0"/>
          <w14:ligatures w14:val="none"/>
        </w:rPr>
        <w:tab/>
        <w:t xml:space="preserve"> CUSTOMER FEEDBACK MECHANISM</w:t>
      </w:r>
    </w:p>
    <w:p w14:paraId="0F42012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2335D7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maintain an SSA-approved feedback mechanism, such as a website form or other approved method, through which SSA personnel and, where feasible, service users may submit feedback regarding VRI services. The contractor shall make raw feedback data available to SSA upon request and shall provide monthly feedback summaries as required by this SOW.</w:t>
      </w:r>
    </w:p>
    <w:p w14:paraId="379529F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078E30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B-19</w:t>
      </w:r>
      <w:r w:rsidRPr="00712DAD">
        <w:rPr>
          <w:rFonts w:ascii="Times New Roman" w:eastAsia="Times New Roman" w:hAnsi="Times New Roman" w:cs="Times New Roman"/>
          <w:b/>
          <w:bCs/>
          <w:kern w:val="0"/>
          <w14:ligatures w14:val="none"/>
        </w:rPr>
        <w:tab/>
        <w:t xml:space="preserve"> QUALITY ASSURANCE AND CORRECTIVE ACTION</w:t>
      </w:r>
    </w:p>
    <w:p w14:paraId="68AAFAC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2649A9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If the contractor fails to meet performance requirements, service levels, reporting requirements, security requirements, or other material requirements of this SOW, the SSA may require the contractor to provide a corrective action plan.</w:t>
      </w:r>
    </w:p>
    <w:p w14:paraId="688A451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B89D88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contractor shall submit a corrective action plan within a time frame specified by the SSA after notification. The corrective action plan shall, at a minimum, identify the root cause of the performance issue, proposed corrective measures, an implementation timeline, and actions to prevent recurrence.</w:t>
      </w:r>
    </w:p>
    <w:p w14:paraId="12449AF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CF9F37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The SSA will monitor contractor performance through review of required reports, performance data, and user feedback to assess compliance with the requirements of this SOW. Performance monitoring may include evaluation of service availability, response times, reporting accuracy, </w:t>
      </w:r>
      <w:r w:rsidRPr="00712DAD">
        <w:rPr>
          <w:rFonts w:ascii="Times New Roman" w:eastAsia="Times New Roman" w:hAnsi="Times New Roman" w:cs="Times New Roman"/>
          <w:kern w:val="0"/>
          <w14:ligatures w14:val="none"/>
        </w:rPr>
        <w:lastRenderedPageBreak/>
        <w:t>interpreter qualifications, and compliance with security and privacy requirements.</w:t>
      </w:r>
    </w:p>
    <w:p w14:paraId="4BFDC7C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1E5723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Failure to meet performance requirements may result in increased monitoring, required corrective actions, and may be considered in evaluating contractor performance, including past performance and the SSA’s decision to exercise contract options or take other contractual actions.</w:t>
      </w:r>
    </w:p>
    <w:p w14:paraId="3A5B4A7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B43E68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B-20</w:t>
      </w:r>
      <w:r w:rsidRPr="00712DAD">
        <w:rPr>
          <w:rFonts w:ascii="Times New Roman" w:eastAsia="Times New Roman" w:hAnsi="Times New Roman" w:cs="Times New Roman"/>
          <w:b/>
          <w:bCs/>
          <w:kern w:val="0"/>
          <w14:ligatures w14:val="none"/>
        </w:rPr>
        <w:tab/>
        <w:t xml:space="preserve"> ORDERING AND SERVICE ACTIVATION</w:t>
      </w:r>
    </w:p>
    <w:p w14:paraId="56EFD78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A2D4ED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SSA may issue call orders, or other authorized service activation notices under the applicable contract vehicle.</w:t>
      </w:r>
    </w:p>
    <w:p w14:paraId="4737137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6F2389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The initial operational scope may include approximately 700 currently active sites and may expand to all SSA offices and designated foreign service posts during the period of performance.</w:t>
      </w:r>
    </w:p>
    <w:p w14:paraId="3570A39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D41737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For newly activated locations, the contractor shall make service available within 30 calendar days after receipt of an authorized order or activation notice, unless a different implementation timeline is specified by SSA.</w:t>
      </w:r>
    </w:p>
    <w:p w14:paraId="12F73CE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1E824E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B-21</w:t>
      </w:r>
      <w:r w:rsidRPr="00712DAD">
        <w:rPr>
          <w:rFonts w:ascii="Times New Roman" w:eastAsia="Times New Roman" w:hAnsi="Times New Roman" w:cs="Times New Roman"/>
          <w:b/>
          <w:bCs/>
          <w:kern w:val="0"/>
          <w14:ligatures w14:val="none"/>
        </w:rPr>
        <w:tab/>
        <w:t xml:space="preserve"> DEFINITIONS</w:t>
      </w:r>
    </w:p>
    <w:p w14:paraId="31DBF06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DA38F3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For purposes of this SOW:</w:t>
      </w:r>
    </w:p>
    <w:p w14:paraId="66BB0AD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09C120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21.1. DHOH means Deaf or Hard of Hearing.</w:t>
      </w:r>
    </w:p>
    <w:p w14:paraId="6E6D7A2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8F4068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21.2. VRI means Video Remote Interpreting.</w:t>
      </w:r>
    </w:p>
    <w:p w14:paraId="44AC4E1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13C1CA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21.3. CDI means Certified Deaf Interpreter.</w:t>
      </w:r>
    </w:p>
    <w:p w14:paraId="1A24D04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157B6F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21.4. COR means Contracting Officer's Representative.</w:t>
      </w:r>
    </w:p>
    <w:p w14:paraId="6D132D3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3BBABF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21.5. FBU means Federal Benefit Unit.</w:t>
      </w:r>
    </w:p>
    <w:p w14:paraId="21C11A1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812CBC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21.6. Service user means an SSA employee, customer, or other authorized participant in a VRI session.</w:t>
      </w:r>
    </w:p>
    <w:p w14:paraId="541F9E6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C0DAA5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21.7. Successful session initiation means the point at which an SSA user successfully reaches the contractor's VRI platform and is placed in queue for connection to a qualified interpreter.</w:t>
      </w:r>
    </w:p>
    <w:p w14:paraId="134CB74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11FF94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21.8. Hold time means the elapsed time between successful session initiation and connection to a qualified interpreter.</w:t>
      </w:r>
    </w:p>
    <w:p w14:paraId="42AC0F5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DD6171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21.9. Qualified interpreter means an interpreter who meets the qualification requirements of Sections 14 and 15, as applicable to the service being provided.</w:t>
      </w:r>
    </w:p>
    <w:p w14:paraId="7940840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3B16D77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B-22</w:t>
      </w:r>
      <w:r w:rsidRPr="00712DAD">
        <w:rPr>
          <w:rFonts w:ascii="Times New Roman" w:eastAsia="Times New Roman" w:hAnsi="Times New Roman" w:cs="Times New Roman"/>
          <w:b/>
          <w:bCs/>
          <w:kern w:val="0"/>
          <w14:ligatures w14:val="none"/>
        </w:rPr>
        <w:tab/>
        <w:t xml:space="preserve"> SUMMARY OF MINIMUM PERFORMANCE REQUIREMENTS</w:t>
      </w:r>
    </w:p>
    <w:p w14:paraId="7655BE7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279805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At a minimum, the contractor shall:</w:t>
      </w:r>
    </w:p>
    <w:p w14:paraId="1A3DC65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4EEF336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22.1. Provide on-demand VRI service during required service hours.</w:t>
      </w:r>
    </w:p>
    <w:p w14:paraId="4992CB0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F84C87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22.2. Support at least 50 concurrent calls at 1024 kbps (HD quality video) per call.</w:t>
      </w:r>
    </w:p>
    <w:p w14:paraId="440BDBD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5FDBA0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22.3. Maintain average hold time of two (2) minutes or less during each monthly reporting period.</w:t>
      </w:r>
    </w:p>
    <w:p w14:paraId="41D72A4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67D2640" w14:textId="183BB74E"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22.4. Support interoperability with SSA-approved HP/Poly, Cisco, SIP, WebRTC, and Pexip WebApp3</w:t>
      </w:r>
      <w:r w:rsidR="001F21F0">
        <w:rPr>
          <w:rFonts w:ascii="Times New Roman" w:eastAsia="Times New Roman" w:hAnsi="Times New Roman" w:cs="Times New Roman"/>
          <w:kern w:val="0"/>
          <w14:ligatures w14:val="none"/>
        </w:rPr>
        <w:t xml:space="preserve">, </w:t>
      </w:r>
      <w:r w:rsidR="001F21F0" w:rsidRPr="001F21F0">
        <w:rPr>
          <w:rFonts w:ascii="Times New Roman" w:eastAsia="Times New Roman" w:hAnsi="Times New Roman" w:cs="Times New Roman"/>
          <w:kern w:val="0"/>
          <w14:ligatures w14:val="none"/>
        </w:rPr>
        <w:t>or similar browser-based access platform</w:t>
      </w:r>
      <w:r w:rsidRPr="00712DAD">
        <w:rPr>
          <w:rFonts w:ascii="Times New Roman" w:eastAsia="Times New Roman" w:hAnsi="Times New Roman" w:cs="Times New Roman"/>
          <w:kern w:val="0"/>
          <w14:ligatures w14:val="none"/>
        </w:rPr>
        <w:t>, as applicable.</w:t>
      </w:r>
    </w:p>
    <w:p w14:paraId="3A316441"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13DFE6F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22.5. Maintain appropriate security, privacy, confidentiality, and incident response practices.</w:t>
      </w:r>
    </w:p>
    <w:p w14:paraId="0FAC1A9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58843D8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22.6. Provide qualified interpreters, including RID-certified interpreters and CDI support, in accordance with Sections 14 and 15.</w:t>
      </w:r>
    </w:p>
    <w:p w14:paraId="6438A8B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CACBA4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22.7. Complete implementation and testing in time to provide full production service no later than June 1, 2026.</w:t>
      </w:r>
    </w:p>
    <w:p w14:paraId="3972710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76663D7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22.8. Restore service within four (4) hours of a qualifying outage affecting SSA connectivity to the contractor's service.</w:t>
      </w:r>
    </w:p>
    <w:p w14:paraId="4B50824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6AA2B07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22.9. Provide required reports and invoice support data.</w:t>
      </w:r>
    </w:p>
    <w:p w14:paraId="7E579FE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029F9F92"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22.10. Support all SSA-designated locations, including designated foreign service posts, during the period of performance using SSA-approved access methods.</w:t>
      </w:r>
    </w:p>
    <w:p w14:paraId="40B94E6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p w14:paraId="2000846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r w:rsidRPr="00712DAD">
        <w:rPr>
          <w:rFonts w:ascii="Times New Roman" w:eastAsia="Times New Roman" w:hAnsi="Times New Roman" w:cs="Times New Roman"/>
          <w:b/>
          <w:bCs/>
          <w:kern w:val="0"/>
          <w14:ligatures w14:val="none"/>
        </w:rPr>
        <w:t>B-23</w:t>
      </w:r>
      <w:r w:rsidRPr="00712DAD">
        <w:rPr>
          <w:rFonts w:ascii="Times New Roman" w:eastAsia="Times New Roman" w:hAnsi="Times New Roman" w:cs="Times New Roman"/>
          <w:b/>
          <w:bCs/>
          <w:kern w:val="0"/>
          <w14:ligatures w14:val="none"/>
        </w:rPr>
        <w:tab/>
        <w:t xml:space="preserve"> DELIVERABLES</w:t>
      </w:r>
    </w:p>
    <w:p w14:paraId="4EE457D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b/>
          <w:bCs/>
          <w:kern w:val="0"/>
          <w14:ligatures w14:val="none"/>
        </w:rPr>
      </w:pPr>
    </w:p>
    <w:tbl>
      <w:tblPr>
        <w:tblW w:w="9270" w:type="dxa"/>
        <w:tblLayout w:type="fixed"/>
        <w:tblCellMar>
          <w:left w:w="0" w:type="dxa"/>
          <w:right w:w="0" w:type="dxa"/>
        </w:tblCellMar>
        <w:tblLook w:val="01E0" w:firstRow="1" w:lastRow="1" w:firstColumn="1" w:lastColumn="1" w:noHBand="0" w:noVBand="0"/>
      </w:tblPr>
      <w:tblGrid>
        <w:gridCol w:w="2627"/>
        <w:gridCol w:w="1603"/>
        <w:gridCol w:w="1620"/>
        <w:gridCol w:w="3420"/>
      </w:tblGrid>
      <w:tr w:rsidR="00712DAD" w:rsidRPr="00712DAD" w14:paraId="4E4FEAE4" w14:textId="77777777" w:rsidTr="00712DAD">
        <w:trPr>
          <w:trHeight w:val="295"/>
        </w:trPr>
        <w:tc>
          <w:tcPr>
            <w:tcW w:w="2627" w:type="dxa"/>
            <w:tcBorders>
              <w:top w:val="single" w:sz="8" w:space="0" w:color="000000"/>
              <w:bottom w:val="single" w:sz="8" w:space="0" w:color="000000"/>
            </w:tcBorders>
          </w:tcPr>
          <w:p w14:paraId="290B50B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DELIVERABLE</w:t>
            </w:r>
          </w:p>
        </w:tc>
        <w:tc>
          <w:tcPr>
            <w:tcW w:w="1603" w:type="dxa"/>
            <w:tcBorders>
              <w:top w:val="single" w:sz="8" w:space="0" w:color="000000"/>
              <w:bottom w:val="single" w:sz="8" w:space="0" w:color="000000"/>
            </w:tcBorders>
          </w:tcPr>
          <w:p w14:paraId="322536E1"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REFERENCE</w:t>
            </w:r>
          </w:p>
        </w:tc>
        <w:tc>
          <w:tcPr>
            <w:tcW w:w="1620" w:type="dxa"/>
            <w:tcBorders>
              <w:top w:val="single" w:sz="8" w:space="0" w:color="000000"/>
              <w:bottom w:val="single" w:sz="8" w:space="0" w:color="000000"/>
            </w:tcBorders>
          </w:tcPr>
          <w:p w14:paraId="58B735DF"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SUBMIT TO</w:t>
            </w:r>
          </w:p>
        </w:tc>
        <w:tc>
          <w:tcPr>
            <w:tcW w:w="3420" w:type="dxa"/>
            <w:tcBorders>
              <w:top w:val="single" w:sz="8" w:space="0" w:color="000000"/>
              <w:bottom w:val="single" w:sz="8" w:space="0" w:color="000000"/>
            </w:tcBorders>
          </w:tcPr>
          <w:p w14:paraId="079A8794"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DUE</w:t>
            </w:r>
            <w:r w:rsidRPr="00712DAD">
              <w:rPr>
                <w:rFonts w:ascii="Times New Roman" w:eastAsia="Times New Roman" w:hAnsi="Times New Roman" w:cs="Times New Roman"/>
                <w:spacing w:val="-3"/>
                <w:kern w:val="0"/>
                <w14:ligatures w14:val="none"/>
              </w:rPr>
              <w:t xml:space="preserve"> </w:t>
            </w:r>
            <w:r w:rsidRPr="00712DAD">
              <w:rPr>
                <w:rFonts w:ascii="Times New Roman" w:eastAsia="Times New Roman" w:hAnsi="Times New Roman" w:cs="Times New Roman"/>
                <w:kern w:val="0"/>
                <w14:ligatures w14:val="none"/>
              </w:rPr>
              <w:t>DATE</w:t>
            </w:r>
          </w:p>
        </w:tc>
      </w:tr>
      <w:tr w:rsidR="00712DAD" w:rsidRPr="00712DAD" w14:paraId="3610E7FB" w14:textId="77777777" w:rsidTr="00712DAD">
        <w:trPr>
          <w:trHeight w:val="295"/>
        </w:trPr>
        <w:tc>
          <w:tcPr>
            <w:tcW w:w="2627" w:type="dxa"/>
            <w:tcBorders>
              <w:top w:val="single" w:sz="8" w:space="0" w:color="000000"/>
              <w:bottom w:val="single" w:sz="8" w:space="0" w:color="000000"/>
            </w:tcBorders>
            <w:shd w:val="clear" w:color="auto" w:fill="BFBFBF"/>
          </w:tcPr>
          <w:p w14:paraId="6AF31A8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 Implementation and Testing Plan</w:t>
            </w:r>
          </w:p>
        </w:tc>
        <w:tc>
          <w:tcPr>
            <w:tcW w:w="1603" w:type="dxa"/>
            <w:tcBorders>
              <w:top w:val="single" w:sz="8" w:space="0" w:color="000000"/>
              <w:bottom w:val="single" w:sz="8" w:space="0" w:color="000000"/>
            </w:tcBorders>
            <w:shd w:val="clear" w:color="auto" w:fill="BFBFBF"/>
          </w:tcPr>
          <w:p w14:paraId="0B4D5D86"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B-11.2</w:t>
            </w:r>
          </w:p>
        </w:tc>
        <w:tc>
          <w:tcPr>
            <w:tcW w:w="1620" w:type="dxa"/>
            <w:tcBorders>
              <w:top w:val="single" w:sz="8" w:space="0" w:color="000000"/>
              <w:bottom w:val="single" w:sz="8" w:space="0" w:color="000000"/>
            </w:tcBorders>
            <w:shd w:val="clear" w:color="auto" w:fill="BFBFBF"/>
          </w:tcPr>
          <w:p w14:paraId="3209A53D"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tcBorders>
              <w:top w:val="single" w:sz="8" w:space="0" w:color="000000"/>
              <w:bottom w:val="single" w:sz="8" w:space="0" w:color="000000"/>
            </w:tcBorders>
            <w:shd w:val="clear" w:color="auto" w:fill="BFBFBF"/>
          </w:tcPr>
          <w:p w14:paraId="3714DA8B" w14:textId="0D754099"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Within ten (10) calendar days after </w:t>
            </w:r>
            <w:r w:rsidR="0017786D">
              <w:rPr>
                <w:rFonts w:ascii="Times New Roman" w:eastAsia="Times New Roman" w:hAnsi="Times New Roman" w:cs="Times New Roman"/>
                <w:kern w:val="0"/>
                <w14:ligatures w14:val="none"/>
              </w:rPr>
              <w:t>BPA</w:t>
            </w:r>
            <w:r w:rsidRPr="00712DAD">
              <w:rPr>
                <w:rFonts w:ascii="Times New Roman" w:eastAsia="Times New Roman" w:hAnsi="Times New Roman" w:cs="Times New Roman"/>
                <w:kern w:val="0"/>
                <w14:ligatures w14:val="none"/>
              </w:rPr>
              <w:t xml:space="preserve"> award</w:t>
            </w:r>
          </w:p>
        </w:tc>
      </w:tr>
      <w:tr w:rsidR="00712DAD" w:rsidRPr="00712DAD" w14:paraId="78ED7513" w14:textId="77777777" w:rsidTr="00712DAD">
        <w:trPr>
          <w:trHeight w:val="295"/>
        </w:trPr>
        <w:tc>
          <w:tcPr>
            <w:tcW w:w="2627" w:type="dxa"/>
            <w:tcBorders>
              <w:top w:val="single" w:sz="8" w:space="0" w:color="000000"/>
              <w:bottom w:val="single" w:sz="8" w:space="0" w:color="000000"/>
            </w:tcBorders>
          </w:tcPr>
          <w:p w14:paraId="41A047B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2. Helpdesk and Points of Contact</w:t>
            </w:r>
          </w:p>
        </w:tc>
        <w:tc>
          <w:tcPr>
            <w:tcW w:w="1603" w:type="dxa"/>
            <w:tcBorders>
              <w:top w:val="single" w:sz="8" w:space="0" w:color="000000"/>
              <w:bottom w:val="single" w:sz="8" w:space="0" w:color="000000"/>
            </w:tcBorders>
          </w:tcPr>
          <w:p w14:paraId="3CEC5F3F"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B-12.3</w:t>
            </w:r>
          </w:p>
        </w:tc>
        <w:tc>
          <w:tcPr>
            <w:tcW w:w="1620" w:type="dxa"/>
            <w:tcBorders>
              <w:top w:val="single" w:sz="8" w:space="0" w:color="000000"/>
              <w:bottom w:val="single" w:sz="8" w:space="0" w:color="000000"/>
            </w:tcBorders>
          </w:tcPr>
          <w:p w14:paraId="530EC1F6"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tcBorders>
              <w:top w:val="single" w:sz="8" w:space="0" w:color="000000"/>
              <w:bottom w:val="single" w:sz="8" w:space="0" w:color="000000"/>
            </w:tcBorders>
          </w:tcPr>
          <w:p w14:paraId="7833DE8B"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At performance start and maintained throughout performance</w:t>
            </w:r>
          </w:p>
        </w:tc>
      </w:tr>
      <w:tr w:rsidR="00712DAD" w:rsidRPr="00712DAD" w14:paraId="5D52B6F0" w14:textId="77777777" w:rsidTr="00712DAD">
        <w:trPr>
          <w:trHeight w:val="295"/>
        </w:trPr>
        <w:tc>
          <w:tcPr>
            <w:tcW w:w="2627" w:type="dxa"/>
            <w:tcBorders>
              <w:top w:val="single" w:sz="8" w:space="0" w:color="000000"/>
              <w:bottom w:val="single" w:sz="8" w:space="0" w:color="000000"/>
            </w:tcBorders>
            <w:shd w:val="clear" w:color="auto" w:fill="BFBFBF"/>
          </w:tcPr>
          <w:p w14:paraId="48B16066"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3. User Instructional Materials</w:t>
            </w:r>
          </w:p>
        </w:tc>
        <w:tc>
          <w:tcPr>
            <w:tcW w:w="1603" w:type="dxa"/>
            <w:tcBorders>
              <w:top w:val="single" w:sz="8" w:space="0" w:color="000000"/>
              <w:bottom w:val="single" w:sz="8" w:space="0" w:color="000000"/>
            </w:tcBorders>
            <w:shd w:val="clear" w:color="auto" w:fill="BFBFBF"/>
          </w:tcPr>
          <w:p w14:paraId="57CC04B1"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B-12.4</w:t>
            </w:r>
          </w:p>
        </w:tc>
        <w:tc>
          <w:tcPr>
            <w:tcW w:w="1620" w:type="dxa"/>
            <w:tcBorders>
              <w:top w:val="single" w:sz="8" w:space="0" w:color="000000"/>
              <w:bottom w:val="single" w:sz="8" w:space="0" w:color="000000"/>
            </w:tcBorders>
            <w:shd w:val="clear" w:color="auto" w:fill="BFBFBF"/>
          </w:tcPr>
          <w:p w14:paraId="48DCD9C2"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tcBorders>
              <w:top w:val="single" w:sz="8" w:space="0" w:color="000000"/>
              <w:bottom w:val="single" w:sz="8" w:space="0" w:color="000000"/>
            </w:tcBorders>
            <w:shd w:val="clear" w:color="auto" w:fill="BFBFBF"/>
          </w:tcPr>
          <w:p w14:paraId="5B9AD10D"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At performance start and updated as needed</w:t>
            </w:r>
          </w:p>
        </w:tc>
      </w:tr>
      <w:tr w:rsidR="00712DAD" w:rsidRPr="00712DAD" w14:paraId="4D1C5997" w14:textId="77777777" w:rsidTr="00712DAD">
        <w:trPr>
          <w:trHeight w:val="295"/>
        </w:trPr>
        <w:tc>
          <w:tcPr>
            <w:tcW w:w="2627" w:type="dxa"/>
            <w:tcBorders>
              <w:top w:val="single" w:sz="8" w:space="0" w:color="000000"/>
              <w:bottom w:val="single" w:sz="8" w:space="0" w:color="000000"/>
            </w:tcBorders>
          </w:tcPr>
          <w:p w14:paraId="4940FF8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4. Accessibility Documentation</w:t>
            </w:r>
          </w:p>
        </w:tc>
        <w:tc>
          <w:tcPr>
            <w:tcW w:w="1603" w:type="dxa"/>
            <w:tcBorders>
              <w:top w:val="single" w:sz="8" w:space="0" w:color="000000"/>
              <w:bottom w:val="single" w:sz="8" w:space="0" w:color="000000"/>
            </w:tcBorders>
          </w:tcPr>
          <w:p w14:paraId="5D9714C3"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B-13</w:t>
            </w:r>
          </w:p>
        </w:tc>
        <w:tc>
          <w:tcPr>
            <w:tcW w:w="1620" w:type="dxa"/>
            <w:tcBorders>
              <w:top w:val="single" w:sz="8" w:space="0" w:color="000000"/>
              <w:bottom w:val="single" w:sz="8" w:space="0" w:color="000000"/>
            </w:tcBorders>
          </w:tcPr>
          <w:p w14:paraId="08046452"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tcBorders>
              <w:top w:val="single" w:sz="8" w:space="0" w:color="000000"/>
              <w:bottom w:val="single" w:sz="8" w:space="0" w:color="000000"/>
            </w:tcBorders>
          </w:tcPr>
          <w:p w14:paraId="2B894B59"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Upon request</w:t>
            </w:r>
          </w:p>
        </w:tc>
      </w:tr>
      <w:tr w:rsidR="00712DAD" w:rsidRPr="00712DAD" w14:paraId="6B2FEBAF" w14:textId="77777777" w:rsidTr="00712DAD">
        <w:trPr>
          <w:trHeight w:val="295"/>
        </w:trPr>
        <w:tc>
          <w:tcPr>
            <w:tcW w:w="2627" w:type="dxa"/>
            <w:tcBorders>
              <w:top w:val="single" w:sz="8" w:space="0" w:color="000000"/>
            </w:tcBorders>
            <w:shd w:val="clear" w:color="auto" w:fill="C0C0C0"/>
          </w:tcPr>
          <w:p w14:paraId="53A5E1E7"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5. Interpreter Certification Statement (Initial)</w:t>
            </w:r>
          </w:p>
        </w:tc>
        <w:tc>
          <w:tcPr>
            <w:tcW w:w="1603" w:type="dxa"/>
            <w:tcBorders>
              <w:top w:val="single" w:sz="8" w:space="0" w:color="000000"/>
            </w:tcBorders>
            <w:shd w:val="clear" w:color="auto" w:fill="C0C0C0"/>
          </w:tcPr>
          <w:p w14:paraId="1DD831EA"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B-15</w:t>
            </w:r>
          </w:p>
        </w:tc>
        <w:tc>
          <w:tcPr>
            <w:tcW w:w="1620" w:type="dxa"/>
            <w:tcBorders>
              <w:top w:val="single" w:sz="8" w:space="0" w:color="000000"/>
            </w:tcBorders>
            <w:shd w:val="clear" w:color="auto" w:fill="C0C0C0"/>
          </w:tcPr>
          <w:p w14:paraId="09FF8D11"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tcBorders>
              <w:top w:val="single" w:sz="8" w:space="0" w:color="000000"/>
            </w:tcBorders>
            <w:shd w:val="clear" w:color="auto" w:fill="C0C0C0"/>
          </w:tcPr>
          <w:p w14:paraId="2BD37B5A" w14:textId="4BD31ED4"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Within</w:t>
            </w:r>
            <w:r w:rsidRPr="00712DAD">
              <w:rPr>
                <w:rFonts w:ascii="Times New Roman" w:eastAsia="Times New Roman" w:hAnsi="Times New Roman" w:cs="Times New Roman"/>
                <w:spacing w:val="-4"/>
                <w:kern w:val="0"/>
                <w14:ligatures w14:val="none"/>
              </w:rPr>
              <w:t xml:space="preserve"> </w:t>
            </w:r>
            <w:r w:rsidRPr="00712DAD">
              <w:rPr>
                <w:rFonts w:ascii="Times New Roman" w:eastAsia="Times New Roman" w:hAnsi="Times New Roman" w:cs="Times New Roman"/>
                <w:kern w:val="0"/>
                <w14:ligatures w14:val="none"/>
              </w:rPr>
              <w:t>ten</w:t>
            </w:r>
            <w:r w:rsidRPr="00712DAD">
              <w:rPr>
                <w:rFonts w:ascii="Times New Roman" w:eastAsia="Times New Roman" w:hAnsi="Times New Roman" w:cs="Times New Roman"/>
                <w:spacing w:val="-3"/>
                <w:kern w:val="0"/>
                <w14:ligatures w14:val="none"/>
              </w:rPr>
              <w:t xml:space="preserve"> </w:t>
            </w:r>
            <w:r w:rsidRPr="00712DAD">
              <w:rPr>
                <w:rFonts w:ascii="Times New Roman" w:eastAsia="Times New Roman" w:hAnsi="Times New Roman" w:cs="Times New Roman"/>
                <w:kern w:val="0"/>
                <w14:ligatures w14:val="none"/>
              </w:rPr>
              <w:t>(10)</w:t>
            </w:r>
            <w:r w:rsidRPr="00712DAD">
              <w:rPr>
                <w:rFonts w:ascii="Times New Roman" w:eastAsia="Times New Roman" w:hAnsi="Times New Roman" w:cs="Times New Roman"/>
                <w:spacing w:val="-2"/>
                <w:kern w:val="0"/>
                <w14:ligatures w14:val="none"/>
              </w:rPr>
              <w:t xml:space="preserve"> </w:t>
            </w:r>
            <w:r w:rsidRPr="00712DAD">
              <w:rPr>
                <w:rFonts w:ascii="Times New Roman" w:eastAsia="Times New Roman" w:hAnsi="Times New Roman" w:cs="Times New Roman"/>
                <w:kern w:val="0"/>
                <w14:ligatures w14:val="none"/>
              </w:rPr>
              <w:t>calendar</w:t>
            </w:r>
            <w:r w:rsidRPr="00712DAD">
              <w:rPr>
                <w:rFonts w:ascii="Times New Roman" w:eastAsia="Times New Roman" w:hAnsi="Times New Roman" w:cs="Times New Roman"/>
                <w:spacing w:val="-1"/>
                <w:kern w:val="0"/>
                <w14:ligatures w14:val="none"/>
              </w:rPr>
              <w:t xml:space="preserve"> </w:t>
            </w:r>
            <w:r w:rsidRPr="00712DAD">
              <w:rPr>
                <w:rFonts w:ascii="Times New Roman" w:eastAsia="Times New Roman" w:hAnsi="Times New Roman" w:cs="Times New Roman"/>
                <w:kern w:val="0"/>
                <w14:ligatures w14:val="none"/>
              </w:rPr>
              <w:t>days</w:t>
            </w:r>
            <w:r w:rsidRPr="00712DAD">
              <w:rPr>
                <w:rFonts w:ascii="Times New Roman" w:eastAsia="Times New Roman" w:hAnsi="Times New Roman" w:cs="Times New Roman"/>
                <w:spacing w:val="-3"/>
                <w:kern w:val="0"/>
                <w14:ligatures w14:val="none"/>
              </w:rPr>
              <w:t xml:space="preserve"> </w:t>
            </w:r>
            <w:r w:rsidRPr="00712DAD">
              <w:rPr>
                <w:rFonts w:ascii="Times New Roman" w:eastAsia="Times New Roman" w:hAnsi="Times New Roman" w:cs="Times New Roman"/>
                <w:kern w:val="0"/>
                <w14:ligatures w14:val="none"/>
              </w:rPr>
              <w:t>after</w:t>
            </w:r>
            <w:r w:rsidRPr="00712DAD">
              <w:rPr>
                <w:rFonts w:ascii="Times New Roman" w:eastAsia="Times New Roman" w:hAnsi="Times New Roman" w:cs="Times New Roman"/>
                <w:spacing w:val="-3"/>
                <w:kern w:val="0"/>
                <w14:ligatures w14:val="none"/>
              </w:rPr>
              <w:t xml:space="preserve"> </w:t>
            </w:r>
            <w:r w:rsidR="0017786D">
              <w:rPr>
                <w:rFonts w:ascii="Times New Roman" w:eastAsia="Times New Roman" w:hAnsi="Times New Roman" w:cs="Times New Roman"/>
                <w:spacing w:val="-3"/>
                <w:kern w:val="0"/>
                <w14:ligatures w14:val="none"/>
              </w:rPr>
              <w:t>BPA</w:t>
            </w:r>
            <w:r w:rsidRPr="00712DAD">
              <w:rPr>
                <w:rFonts w:ascii="Times New Roman" w:eastAsia="Times New Roman" w:hAnsi="Times New Roman" w:cs="Times New Roman"/>
                <w:spacing w:val="-3"/>
                <w:kern w:val="0"/>
                <w14:ligatures w14:val="none"/>
              </w:rPr>
              <w:t xml:space="preserve"> </w:t>
            </w:r>
            <w:r w:rsidRPr="00712DAD">
              <w:rPr>
                <w:rFonts w:ascii="Times New Roman" w:eastAsia="Times New Roman" w:hAnsi="Times New Roman" w:cs="Times New Roman"/>
                <w:kern w:val="0"/>
                <w14:ligatures w14:val="none"/>
              </w:rPr>
              <w:t>award</w:t>
            </w:r>
          </w:p>
        </w:tc>
      </w:tr>
      <w:tr w:rsidR="00712DAD" w:rsidRPr="00712DAD" w14:paraId="5A7BD664" w14:textId="77777777" w:rsidTr="00712DAD">
        <w:trPr>
          <w:trHeight w:val="280"/>
        </w:trPr>
        <w:tc>
          <w:tcPr>
            <w:tcW w:w="2627" w:type="dxa"/>
          </w:tcPr>
          <w:p w14:paraId="2871771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6. Interpreter Certification Statement (Recurring)</w:t>
            </w:r>
          </w:p>
        </w:tc>
        <w:tc>
          <w:tcPr>
            <w:tcW w:w="1603" w:type="dxa"/>
          </w:tcPr>
          <w:p w14:paraId="23F1563D"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B-15</w:t>
            </w:r>
          </w:p>
        </w:tc>
        <w:tc>
          <w:tcPr>
            <w:tcW w:w="1620" w:type="dxa"/>
          </w:tcPr>
          <w:p w14:paraId="7C862930"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tcPr>
          <w:p w14:paraId="41E71E22"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Every 6 months</w:t>
            </w:r>
          </w:p>
        </w:tc>
      </w:tr>
      <w:tr w:rsidR="00712DAD" w:rsidRPr="00712DAD" w14:paraId="2D7ED09D" w14:textId="77777777" w:rsidTr="00712DAD">
        <w:trPr>
          <w:trHeight w:val="68"/>
        </w:trPr>
        <w:tc>
          <w:tcPr>
            <w:tcW w:w="2627" w:type="dxa"/>
            <w:shd w:val="clear" w:color="auto" w:fill="C0C0C0"/>
          </w:tcPr>
          <w:p w14:paraId="5BDCA49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7. Monthly Invoice </w:t>
            </w:r>
            <w:r w:rsidRPr="00712DAD">
              <w:rPr>
                <w:rFonts w:ascii="Times New Roman" w:eastAsia="Times New Roman" w:hAnsi="Times New Roman" w:cs="Times New Roman"/>
                <w:kern w:val="0"/>
                <w14:ligatures w14:val="none"/>
              </w:rPr>
              <w:lastRenderedPageBreak/>
              <w:t>Support Report</w:t>
            </w:r>
          </w:p>
        </w:tc>
        <w:tc>
          <w:tcPr>
            <w:tcW w:w="1603" w:type="dxa"/>
            <w:shd w:val="clear" w:color="auto" w:fill="C0C0C0"/>
          </w:tcPr>
          <w:p w14:paraId="3AA28AF9"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lastRenderedPageBreak/>
              <w:t>B-17.1</w:t>
            </w:r>
          </w:p>
        </w:tc>
        <w:tc>
          <w:tcPr>
            <w:tcW w:w="1620" w:type="dxa"/>
            <w:shd w:val="clear" w:color="auto" w:fill="C0C0C0"/>
          </w:tcPr>
          <w:p w14:paraId="08BA37B2"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shd w:val="clear" w:color="auto" w:fill="C0C0C0"/>
          </w:tcPr>
          <w:p w14:paraId="6AF754D8"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Monthly, no later than the 10th </w:t>
            </w:r>
            <w:r w:rsidRPr="00712DAD">
              <w:rPr>
                <w:rFonts w:ascii="Times New Roman" w:eastAsia="Times New Roman" w:hAnsi="Times New Roman" w:cs="Times New Roman"/>
                <w:kern w:val="0"/>
                <w14:ligatures w14:val="none"/>
              </w:rPr>
              <w:lastRenderedPageBreak/>
              <w:t>calendar day of each</w:t>
            </w:r>
          </w:p>
        </w:tc>
      </w:tr>
      <w:tr w:rsidR="00712DAD" w:rsidRPr="00712DAD" w14:paraId="28BBA44F" w14:textId="77777777" w:rsidTr="00712DAD">
        <w:trPr>
          <w:trHeight w:val="280"/>
        </w:trPr>
        <w:tc>
          <w:tcPr>
            <w:tcW w:w="2627" w:type="dxa"/>
          </w:tcPr>
          <w:p w14:paraId="7515F17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lastRenderedPageBreak/>
              <w:t>8. Semiannual Performance Report</w:t>
            </w:r>
          </w:p>
        </w:tc>
        <w:tc>
          <w:tcPr>
            <w:tcW w:w="1603" w:type="dxa"/>
          </w:tcPr>
          <w:p w14:paraId="65DD9203"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B-17.2</w:t>
            </w:r>
          </w:p>
        </w:tc>
        <w:tc>
          <w:tcPr>
            <w:tcW w:w="1620" w:type="dxa"/>
          </w:tcPr>
          <w:p w14:paraId="00375C07"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tcPr>
          <w:p w14:paraId="66D23156"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Every 6 months</w:t>
            </w:r>
          </w:p>
        </w:tc>
      </w:tr>
      <w:tr w:rsidR="00712DAD" w:rsidRPr="00712DAD" w14:paraId="6EDB4C2C" w14:textId="77777777" w:rsidTr="00712DAD">
        <w:trPr>
          <w:trHeight w:val="295"/>
        </w:trPr>
        <w:tc>
          <w:tcPr>
            <w:tcW w:w="2627" w:type="dxa"/>
            <w:shd w:val="clear" w:color="auto" w:fill="C0C0C0"/>
          </w:tcPr>
          <w:p w14:paraId="419B3A6C"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9. Monthly Customer Feedback Summary</w:t>
            </w:r>
          </w:p>
          <w:p w14:paraId="7B1D254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tc>
        <w:tc>
          <w:tcPr>
            <w:tcW w:w="1603" w:type="dxa"/>
            <w:shd w:val="clear" w:color="auto" w:fill="C0C0C0"/>
          </w:tcPr>
          <w:p w14:paraId="282B67FD"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B-17.3</w:t>
            </w:r>
          </w:p>
        </w:tc>
        <w:tc>
          <w:tcPr>
            <w:tcW w:w="1620" w:type="dxa"/>
            <w:shd w:val="clear" w:color="auto" w:fill="C0C0C0"/>
          </w:tcPr>
          <w:p w14:paraId="24411713"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shd w:val="clear" w:color="auto" w:fill="C0C0C0"/>
          </w:tcPr>
          <w:p w14:paraId="701EF649"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Monthly, no later than the 10th calendar day of each month</w:t>
            </w:r>
          </w:p>
        </w:tc>
      </w:tr>
      <w:tr w:rsidR="00712DAD" w:rsidRPr="00712DAD" w14:paraId="619340C9" w14:textId="77777777" w:rsidTr="00712DAD">
        <w:trPr>
          <w:trHeight w:val="310"/>
        </w:trPr>
        <w:tc>
          <w:tcPr>
            <w:tcW w:w="2627" w:type="dxa"/>
          </w:tcPr>
          <w:p w14:paraId="6E062559"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10. Sample Reports</w:t>
            </w:r>
          </w:p>
        </w:tc>
        <w:tc>
          <w:tcPr>
            <w:tcW w:w="1603" w:type="dxa"/>
          </w:tcPr>
          <w:p w14:paraId="7CD3C0CA"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B-17.4</w:t>
            </w:r>
          </w:p>
        </w:tc>
        <w:tc>
          <w:tcPr>
            <w:tcW w:w="1620" w:type="dxa"/>
          </w:tcPr>
          <w:p w14:paraId="6297F027"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tcPr>
          <w:p w14:paraId="79E50239"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Within ten (10) calendar days after contract award</w:t>
            </w:r>
          </w:p>
        </w:tc>
      </w:tr>
      <w:tr w:rsidR="00712DAD" w:rsidRPr="00712DAD" w14:paraId="4AB65CBA" w14:textId="77777777" w:rsidTr="00712DAD">
        <w:trPr>
          <w:trHeight w:val="280"/>
        </w:trPr>
        <w:tc>
          <w:tcPr>
            <w:tcW w:w="2627" w:type="dxa"/>
            <w:shd w:val="clear" w:color="auto" w:fill="C0C0C0"/>
          </w:tcPr>
          <w:p w14:paraId="6929576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11. Corrective Action Plan</w:t>
            </w:r>
          </w:p>
        </w:tc>
        <w:tc>
          <w:tcPr>
            <w:tcW w:w="1603" w:type="dxa"/>
            <w:shd w:val="clear" w:color="auto" w:fill="C0C0C0"/>
          </w:tcPr>
          <w:p w14:paraId="720BECD3"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B-19</w:t>
            </w:r>
          </w:p>
        </w:tc>
        <w:tc>
          <w:tcPr>
            <w:tcW w:w="1620" w:type="dxa"/>
            <w:shd w:val="clear" w:color="auto" w:fill="C0C0C0"/>
          </w:tcPr>
          <w:p w14:paraId="4E896100"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shd w:val="clear" w:color="auto" w:fill="C0C0C0"/>
          </w:tcPr>
          <w:p w14:paraId="075B0AB4"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Upon request, as indicated</w:t>
            </w:r>
          </w:p>
        </w:tc>
      </w:tr>
      <w:tr w:rsidR="00712DAD" w:rsidRPr="00712DAD" w14:paraId="34DB3A17" w14:textId="77777777" w:rsidTr="00712DAD">
        <w:trPr>
          <w:trHeight w:val="295"/>
        </w:trPr>
        <w:tc>
          <w:tcPr>
            <w:tcW w:w="2627" w:type="dxa"/>
          </w:tcPr>
          <w:p w14:paraId="51103465" w14:textId="7264BC51"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12. Initial personnel suitability package (e-QI</w:t>
            </w:r>
            <w:r w:rsidR="0017786D">
              <w:rPr>
                <w:rFonts w:ascii="Times New Roman" w:eastAsia="Times New Roman" w:hAnsi="Times New Roman" w:cs="Times New Roman"/>
                <w:kern w:val="0"/>
                <w14:ligatures w14:val="none"/>
              </w:rPr>
              <w:t>P</w:t>
            </w:r>
            <w:r w:rsidRPr="00712DAD">
              <w:rPr>
                <w:rFonts w:ascii="Times New Roman" w:eastAsia="Times New Roman" w:hAnsi="Times New Roman" w:cs="Times New Roman"/>
                <w:kern w:val="0"/>
                <w14:ligatures w14:val="none"/>
              </w:rPr>
              <w:t>, OF-306, FCRA, etc.)</w:t>
            </w:r>
          </w:p>
        </w:tc>
        <w:tc>
          <w:tcPr>
            <w:tcW w:w="1603" w:type="dxa"/>
          </w:tcPr>
          <w:p w14:paraId="75B6E4F3" w14:textId="54B650C2"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w:t>
            </w:r>
            <w:r w:rsidR="003F3520">
              <w:rPr>
                <w:rFonts w:ascii="Times New Roman" w:eastAsia="Times New Roman" w:hAnsi="Times New Roman" w:cs="Times New Roman"/>
                <w:kern w:val="0"/>
                <w14:ligatures w14:val="none"/>
              </w:rPr>
              <w:t>7</w:t>
            </w:r>
          </w:p>
        </w:tc>
        <w:tc>
          <w:tcPr>
            <w:tcW w:w="1620" w:type="dxa"/>
          </w:tcPr>
          <w:p w14:paraId="047A2B74"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tcPr>
          <w:p w14:paraId="5DE1A747" w14:textId="3D363DAF"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Prior to performance</w:t>
            </w:r>
            <w:r w:rsidR="0017786D">
              <w:rPr>
                <w:rFonts w:ascii="Times New Roman" w:eastAsia="Times New Roman" w:hAnsi="Times New Roman" w:cs="Times New Roman"/>
                <w:kern w:val="0"/>
                <w14:ligatures w14:val="none"/>
              </w:rPr>
              <w:t xml:space="preserve"> under the BPA</w:t>
            </w:r>
          </w:p>
        </w:tc>
      </w:tr>
      <w:tr w:rsidR="00712DAD" w:rsidRPr="00712DAD" w14:paraId="6349500D" w14:textId="77777777" w:rsidTr="00712DAD">
        <w:trPr>
          <w:trHeight w:val="336"/>
        </w:trPr>
        <w:tc>
          <w:tcPr>
            <w:tcW w:w="2627" w:type="dxa"/>
            <w:tcBorders>
              <w:top w:val="single" w:sz="8" w:space="0" w:color="000000"/>
            </w:tcBorders>
            <w:shd w:val="clear" w:color="auto" w:fill="BFBFBF"/>
          </w:tcPr>
          <w:p w14:paraId="5950626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13. SSA-222 initial/annual certification submission</w:t>
            </w:r>
          </w:p>
        </w:tc>
        <w:tc>
          <w:tcPr>
            <w:tcW w:w="1603" w:type="dxa"/>
            <w:tcBorders>
              <w:top w:val="single" w:sz="8" w:space="0" w:color="000000"/>
            </w:tcBorders>
            <w:shd w:val="clear" w:color="auto" w:fill="BFBFBF"/>
          </w:tcPr>
          <w:p w14:paraId="7BDB6E97" w14:textId="00C6C7A0"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w:t>
            </w:r>
            <w:r w:rsidR="003F3520">
              <w:rPr>
                <w:rFonts w:ascii="Times New Roman" w:eastAsia="Times New Roman" w:hAnsi="Times New Roman" w:cs="Times New Roman"/>
                <w:kern w:val="0"/>
                <w14:ligatures w14:val="none"/>
              </w:rPr>
              <w:t>8</w:t>
            </w:r>
          </w:p>
        </w:tc>
        <w:tc>
          <w:tcPr>
            <w:tcW w:w="1620" w:type="dxa"/>
            <w:tcBorders>
              <w:top w:val="single" w:sz="8" w:space="0" w:color="000000"/>
            </w:tcBorders>
            <w:shd w:val="clear" w:color="auto" w:fill="BFBFBF"/>
          </w:tcPr>
          <w:p w14:paraId="2C2E9603"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tcBorders>
              <w:top w:val="single" w:sz="8" w:space="0" w:color="000000"/>
            </w:tcBorders>
            <w:shd w:val="clear" w:color="auto" w:fill="BFBFBF"/>
          </w:tcPr>
          <w:p w14:paraId="123DAE02"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Prior to contract performance / annually on anniversary date</w:t>
            </w:r>
          </w:p>
        </w:tc>
      </w:tr>
      <w:tr w:rsidR="00712DAD" w:rsidRPr="00712DAD" w14:paraId="51FE889C" w14:textId="77777777" w:rsidTr="00712DAD">
        <w:trPr>
          <w:trHeight w:val="280"/>
        </w:trPr>
        <w:tc>
          <w:tcPr>
            <w:tcW w:w="2627" w:type="dxa"/>
            <w:shd w:val="clear" w:color="auto" w:fill="FFFFFF"/>
          </w:tcPr>
          <w:p w14:paraId="0E90EDF3"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14.</w:t>
            </w:r>
            <w:r w:rsidRPr="00712DAD">
              <w:rPr>
                <w:rFonts w:ascii="Times New Roman" w:eastAsia="Times New Roman" w:hAnsi="Times New Roman" w:cs="Times New Roman"/>
                <w:spacing w:val="1"/>
                <w:kern w:val="0"/>
                <w14:ligatures w14:val="none"/>
              </w:rPr>
              <w:t xml:space="preserve"> PII breach/incident notification</w:t>
            </w:r>
          </w:p>
        </w:tc>
        <w:tc>
          <w:tcPr>
            <w:tcW w:w="1603" w:type="dxa"/>
            <w:shd w:val="clear" w:color="auto" w:fill="FFFFFF"/>
          </w:tcPr>
          <w:p w14:paraId="690533FB" w14:textId="2DD714E0"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w:t>
            </w:r>
            <w:r w:rsidR="003F3520">
              <w:rPr>
                <w:rFonts w:ascii="Times New Roman" w:eastAsia="Times New Roman" w:hAnsi="Times New Roman" w:cs="Times New Roman"/>
                <w:kern w:val="0"/>
                <w14:ligatures w14:val="none"/>
              </w:rPr>
              <w:t>11</w:t>
            </w:r>
          </w:p>
        </w:tc>
        <w:tc>
          <w:tcPr>
            <w:tcW w:w="1620" w:type="dxa"/>
            <w:shd w:val="clear" w:color="auto" w:fill="FFFFFF"/>
          </w:tcPr>
          <w:p w14:paraId="07A80093"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COR</w:t>
            </w:r>
          </w:p>
        </w:tc>
        <w:tc>
          <w:tcPr>
            <w:tcW w:w="3420" w:type="dxa"/>
            <w:shd w:val="clear" w:color="auto" w:fill="FFFFFF"/>
          </w:tcPr>
          <w:p w14:paraId="532AB974"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Immediately, as indicated</w:t>
            </w:r>
          </w:p>
          <w:p w14:paraId="29197DDE"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p>
        </w:tc>
      </w:tr>
      <w:tr w:rsidR="00712DAD" w:rsidRPr="00712DAD" w14:paraId="43731B53" w14:textId="77777777" w:rsidTr="00712DAD">
        <w:trPr>
          <w:trHeight w:val="295"/>
        </w:trPr>
        <w:tc>
          <w:tcPr>
            <w:tcW w:w="2627" w:type="dxa"/>
            <w:shd w:val="clear" w:color="auto" w:fill="BFBFBF"/>
          </w:tcPr>
          <w:p w14:paraId="2CCBB62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 xml:space="preserve">15. Invoice </w:t>
            </w:r>
          </w:p>
        </w:tc>
        <w:tc>
          <w:tcPr>
            <w:tcW w:w="1603" w:type="dxa"/>
            <w:shd w:val="clear" w:color="auto" w:fill="BFBFBF"/>
          </w:tcPr>
          <w:p w14:paraId="1E176B61" w14:textId="10547B3A"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C-1</w:t>
            </w:r>
            <w:r w:rsidR="003F3520">
              <w:rPr>
                <w:rFonts w:ascii="Times New Roman" w:eastAsia="Times New Roman" w:hAnsi="Times New Roman" w:cs="Times New Roman"/>
                <w:kern w:val="0"/>
                <w14:ligatures w14:val="none"/>
              </w:rPr>
              <w:t>3</w:t>
            </w:r>
          </w:p>
        </w:tc>
        <w:tc>
          <w:tcPr>
            <w:tcW w:w="1620" w:type="dxa"/>
            <w:shd w:val="clear" w:color="auto" w:fill="BFBFBF"/>
          </w:tcPr>
          <w:p w14:paraId="037F3C16"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SSA OTAPS</w:t>
            </w:r>
          </w:p>
        </w:tc>
        <w:tc>
          <w:tcPr>
            <w:tcW w:w="3420" w:type="dxa"/>
            <w:shd w:val="clear" w:color="auto" w:fill="BFBFBF"/>
          </w:tcPr>
          <w:p w14:paraId="4330D549"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Monthly, per clause instructions</w:t>
            </w:r>
          </w:p>
        </w:tc>
      </w:tr>
      <w:tr w:rsidR="00712DAD" w:rsidRPr="00712DAD" w14:paraId="48C3430C" w14:textId="77777777" w:rsidTr="00712DAD">
        <w:trPr>
          <w:trHeight w:val="310"/>
        </w:trPr>
        <w:tc>
          <w:tcPr>
            <w:tcW w:w="2627" w:type="dxa"/>
            <w:shd w:val="clear" w:color="auto" w:fill="FFFFFF"/>
          </w:tcPr>
          <w:p w14:paraId="31EC15C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16. Designation of PERR -Contractor Representative</w:t>
            </w:r>
          </w:p>
        </w:tc>
        <w:tc>
          <w:tcPr>
            <w:tcW w:w="1603" w:type="dxa"/>
            <w:shd w:val="clear" w:color="auto" w:fill="FFFFFF"/>
          </w:tcPr>
          <w:p w14:paraId="490BFF82" w14:textId="62B2A6A3"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C-1</w:t>
            </w:r>
            <w:r w:rsidR="0017786D">
              <w:rPr>
                <w:rFonts w:ascii="Times New Roman" w:eastAsia="Times New Roman" w:hAnsi="Times New Roman" w:cs="Times New Roman"/>
                <w:kern w:val="0"/>
                <w14:ligatures w14:val="none"/>
              </w:rPr>
              <w:t>5</w:t>
            </w:r>
          </w:p>
        </w:tc>
        <w:tc>
          <w:tcPr>
            <w:tcW w:w="1620" w:type="dxa"/>
            <w:shd w:val="clear" w:color="auto" w:fill="FFFFFF"/>
          </w:tcPr>
          <w:p w14:paraId="6C55E901"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CO</w:t>
            </w:r>
          </w:p>
          <w:p w14:paraId="36D8AFD8"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highlight w:val="yellow"/>
                <w14:ligatures w14:val="none"/>
              </w:rPr>
            </w:pPr>
          </w:p>
        </w:tc>
        <w:tc>
          <w:tcPr>
            <w:tcW w:w="3420" w:type="dxa"/>
            <w:shd w:val="clear" w:color="auto" w:fill="FFFFFF"/>
          </w:tcPr>
          <w:p w14:paraId="31DEBB46" w14:textId="1961A951" w:rsidR="00712DAD" w:rsidRPr="00712DAD" w:rsidRDefault="0017786D" w:rsidP="00712DAD">
            <w:pPr>
              <w:widowControl w:val="0"/>
              <w:autoSpaceDE w:val="0"/>
              <w:autoSpaceDN w:val="0"/>
              <w:adjustRightInd w:val="0"/>
              <w:spacing w:after="0" w:line="240" w:lineRule="auto"/>
              <w:jc w:val="center"/>
              <w:rPr>
                <w:rFonts w:ascii="Times New Roman" w:eastAsia="Times New Roman" w:hAnsi="Times New Roman" w:cs="Times New Roman"/>
                <w:kern w:val="0"/>
                <w:highlight w:val="yellow"/>
                <w14:ligatures w14:val="none"/>
              </w:rPr>
            </w:pPr>
            <w:r>
              <w:rPr>
                <w:rFonts w:ascii="Times New Roman" w:eastAsia="Times New Roman" w:hAnsi="Times New Roman" w:cs="Times New Roman"/>
                <w:kern w:val="0"/>
                <w14:ligatures w14:val="none"/>
              </w:rPr>
              <w:t>Submitted with quotation and as necessary during performance</w:t>
            </w:r>
          </w:p>
        </w:tc>
      </w:tr>
      <w:tr w:rsidR="00712DAD" w:rsidRPr="00712DAD" w14:paraId="407771E8" w14:textId="77777777" w:rsidTr="00712DAD">
        <w:trPr>
          <w:trHeight w:val="280"/>
        </w:trPr>
        <w:tc>
          <w:tcPr>
            <w:tcW w:w="2627" w:type="dxa"/>
            <w:shd w:val="clear" w:color="auto" w:fill="BFBFBF"/>
          </w:tcPr>
          <w:p w14:paraId="05EFFC4E"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17. Contractor Administrator</w:t>
            </w:r>
          </w:p>
        </w:tc>
        <w:tc>
          <w:tcPr>
            <w:tcW w:w="1603" w:type="dxa"/>
            <w:shd w:val="clear" w:color="auto" w:fill="BFBFBF"/>
          </w:tcPr>
          <w:p w14:paraId="62AEE0C0" w14:textId="3E68DB13"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14:ligatures w14:val="none"/>
              </w:rPr>
            </w:pPr>
            <w:r w:rsidRPr="00712DAD">
              <w:rPr>
                <w:rFonts w:ascii="Times New Roman" w:eastAsia="Times New Roman" w:hAnsi="Times New Roman" w:cs="Times New Roman"/>
                <w:kern w:val="0"/>
                <w14:ligatures w14:val="none"/>
              </w:rPr>
              <w:t>C-1</w:t>
            </w:r>
            <w:r w:rsidR="0017786D">
              <w:rPr>
                <w:rFonts w:ascii="Times New Roman" w:eastAsia="Times New Roman" w:hAnsi="Times New Roman" w:cs="Times New Roman"/>
                <w:kern w:val="0"/>
                <w14:ligatures w14:val="none"/>
              </w:rPr>
              <w:t>7</w:t>
            </w:r>
          </w:p>
        </w:tc>
        <w:tc>
          <w:tcPr>
            <w:tcW w:w="1620" w:type="dxa"/>
            <w:shd w:val="clear" w:color="auto" w:fill="BFBFBF"/>
          </w:tcPr>
          <w:p w14:paraId="69F10A3A" w14:textId="77777777" w:rsidR="00712DAD" w:rsidRPr="00712DAD" w:rsidRDefault="00712DAD" w:rsidP="00712DAD">
            <w:pPr>
              <w:widowControl w:val="0"/>
              <w:autoSpaceDE w:val="0"/>
              <w:autoSpaceDN w:val="0"/>
              <w:adjustRightInd w:val="0"/>
              <w:spacing w:after="0" w:line="240" w:lineRule="auto"/>
              <w:jc w:val="center"/>
              <w:rPr>
                <w:rFonts w:ascii="Times New Roman" w:eastAsia="Times New Roman" w:hAnsi="Times New Roman" w:cs="Times New Roman"/>
                <w:kern w:val="0"/>
                <w:highlight w:val="yellow"/>
                <w14:ligatures w14:val="none"/>
              </w:rPr>
            </w:pPr>
            <w:r w:rsidRPr="00712DAD">
              <w:rPr>
                <w:rFonts w:ascii="Times New Roman" w:eastAsia="Times New Roman" w:hAnsi="Times New Roman" w:cs="Times New Roman"/>
                <w:kern w:val="0"/>
                <w14:ligatures w14:val="none"/>
              </w:rPr>
              <w:t>CO, COR</w:t>
            </w:r>
          </w:p>
        </w:tc>
        <w:tc>
          <w:tcPr>
            <w:tcW w:w="3420" w:type="dxa"/>
            <w:shd w:val="clear" w:color="auto" w:fill="BFBFBF"/>
          </w:tcPr>
          <w:p w14:paraId="5F224329" w14:textId="2F6B1158" w:rsidR="00712DAD" w:rsidRPr="00712DAD" w:rsidRDefault="0017786D" w:rsidP="00712DAD">
            <w:pPr>
              <w:widowControl w:val="0"/>
              <w:autoSpaceDE w:val="0"/>
              <w:autoSpaceDN w:val="0"/>
              <w:adjustRightInd w:val="0"/>
              <w:spacing w:after="0" w:line="240" w:lineRule="auto"/>
              <w:jc w:val="center"/>
              <w:rPr>
                <w:rFonts w:ascii="Times New Roman" w:eastAsia="Times New Roman" w:hAnsi="Times New Roman" w:cs="Times New Roman"/>
                <w:kern w:val="0"/>
                <w:highlight w:val="yellow"/>
                <w14:ligatures w14:val="none"/>
              </w:rPr>
            </w:pPr>
            <w:r w:rsidRPr="0017786D">
              <w:rPr>
                <w:rFonts w:ascii="Times New Roman" w:eastAsia="Times New Roman" w:hAnsi="Times New Roman" w:cs="Times New Roman"/>
                <w:kern w:val="0"/>
                <w14:ligatures w14:val="none"/>
              </w:rPr>
              <w:t>Submitted with quotation and as necessary during performance</w:t>
            </w:r>
          </w:p>
        </w:tc>
      </w:tr>
      <w:tr w:rsidR="00712DAD" w:rsidRPr="00712DAD" w14:paraId="06C6A8E1" w14:textId="77777777" w:rsidTr="00712DAD">
        <w:trPr>
          <w:trHeight w:val="295"/>
        </w:trPr>
        <w:tc>
          <w:tcPr>
            <w:tcW w:w="2627" w:type="dxa"/>
            <w:shd w:val="clear" w:color="auto" w:fill="FFFFFF"/>
          </w:tcPr>
          <w:p w14:paraId="4159AE58"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tc>
        <w:tc>
          <w:tcPr>
            <w:tcW w:w="1603" w:type="dxa"/>
            <w:shd w:val="clear" w:color="auto" w:fill="FFFFFF"/>
          </w:tcPr>
          <w:p w14:paraId="28823060"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tc>
        <w:tc>
          <w:tcPr>
            <w:tcW w:w="1620" w:type="dxa"/>
            <w:shd w:val="clear" w:color="auto" w:fill="FFFFFF"/>
          </w:tcPr>
          <w:p w14:paraId="25869484"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highlight w:val="yellow"/>
                <w14:ligatures w14:val="none"/>
              </w:rPr>
            </w:pPr>
          </w:p>
        </w:tc>
        <w:tc>
          <w:tcPr>
            <w:tcW w:w="3420" w:type="dxa"/>
            <w:shd w:val="clear" w:color="auto" w:fill="FFFFFF"/>
          </w:tcPr>
          <w:p w14:paraId="36FC43ED"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highlight w:val="yellow"/>
                <w14:ligatures w14:val="none"/>
              </w:rPr>
            </w:pPr>
          </w:p>
        </w:tc>
      </w:tr>
      <w:tr w:rsidR="00712DAD" w:rsidRPr="00712DAD" w14:paraId="7301A341" w14:textId="77777777" w:rsidTr="00712DAD">
        <w:trPr>
          <w:trHeight w:val="280"/>
        </w:trPr>
        <w:tc>
          <w:tcPr>
            <w:tcW w:w="2627" w:type="dxa"/>
            <w:shd w:val="clear" w:color="auto" w:fill="FFFFFF"/>
          </w:tcPr>
          <w:p w14:paraId="0E4961AF"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tc>
        <w:tc>
          <w:tcPr>
            <w:tcW w:w="1603" w:type="dxa"/>
            <w:shd w:val="clear" w:color="auto" w:fill="FFFFFF"/>
          </w:tcPr>
          <w:p w14:paraId="303534EA"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tc>
        <w:tc>
          <w:tcPr>
            <w:tcW w:w="1620" w:type="dxa"/>
            <w:shd w:val="clear" w:color="auto" w:fill="FFFFFF"/>
          </w:tcPr>
          <w:p w14:paraId="043BD3A5"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tc>
        <w:tc>
          <w:tcPr>
            <w:tcW w:w="3420" w:type="dxa"/>
            <w:shd w:val="clear" w:color="auto" w:fill="FFFFFF"/>
          </w:tcPr>
          <w:p w14:paraId="0633243B" w14:textId="77777777" w:rsidR="00712DAD" w:rsidRPr="00712DAD" w:rsidRDefault="00712DAD" w:rsidP="00712DAD">
            <w:pPr>
              <w:widowControl w:val="0"/>
              <w:autoSpaceDE w:val="0"/>
              <w:autoSpaceDN w:val="0"/>
              <w:adjustRightInd w:val="0"/>
              <w:spacing w:after="0" w:line="240" w:lineRule="auto"/>
              <w:rPr>
                <w:rFonts w:ascii="Times New Roman" w:eastAsia="Times New Roman" w:hAnsi="Times New Roman" w:cs="Times New Roman"/>
                <w:kern w:val="0"/>
                <w14:ligatures w14:val="none"/>
              </w:rPr>
            </w:pPr>
          </w:p>
        </w:tc>
      </w:tr>
    </w:tbl>
    <w:p w14:paraId="009C8344" w14:textId="77777777" w:rsidR="00712DAD" w:rsidRDefault="00712DAD"/>
    <w:sectPr w:rsidR="00712DAD">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A0729" w14:textId="77777777" w:rsidR="006C3451" w:rsidRDefault="006C3451" w:rsidP="00712DAD">
      <w:pPr>
        <w:spacing w:after="0" w:line="240" w:lineRule="auto"/>
      </w:pPr>
      <w:r>
        <w:separator/>
      </w:r>
    </w:p>
  </w:endnote>
  <w:endnote w:type="continuationSeparator" w:id="0">
    <w:p w14:paraId="7F68AB1D" w14:textId="77777777" w:rsidR="006C3451" w:rsidRDefault="006C3451" w:rsidP="00712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2768629"/>
      <w:docPartObj>
        <w:docPartGallery w:val="Page Numbers (Bottom of Page)"/>
        <w:docPartUnique/>
      </w:docPartObj>
    </w:sdtPr>
    <w:sdtEndPr>
      <w:rPr>
        <w:noProof/>
      </w:rPr>
    </w:sdtEndPr>
    <w:sdtContent>
      <w:p w14:paraId="59A9B858" w14:textId="4ED973CC" w:rsidR="00B44C99" w:rsidRDefault="00B44C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63CA75" w14:textId="77777777" w:rsidR="00B44C99" w:rsidRDefault="00B44C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56EEE" w14:textId="77777777" w:rsidR="006C3451" w:rsidRDefault="006C3451" w:rsidP="00712DAD">
      <w:pPr>
        <w:spacing w:after="0" w:line="240" w:lineRule="auto"/>
      </w:pPr>
      <w:r>
        <w:separator/>
      </w:r>
    </w:p>
  </w:footnote>
  <w:footnote w:type="continuationSeparator" w:id="0">
    <w:p w14:paraId="1282EEFF" w14:textId="77777777" w:rsidR="006C3451" w:rsidRDefault="006C3451" w:rsidP="00712D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78FC0" w14:textId="20E98070" w:rsidR="00712DAD" w:rsidRPr="00712DAD" w:rsidRDefault="00712DAD" w:rsidP="00712DAD">
    <w:pPr>
      <w:pStyle w:val="Header"/>
      <w:jc w:val="center"/>
      <w:rPr>
        <w:rFonts w:ascii="Times New Roman" w:hAnsi="Times New Roman" w:cs="Times New Roman"/>
      </w:rPr>
    </w:pPr>
    <w:r w:rsidRPr="00712DAD">
      <w:rPr>
        <w:rFonts w:ascii="Times New Roman" w:hAnsi="Times New Roman" w:cs="Times New Roman"/>
        <w:b/>
        <w:bCs/>
        <w:color w:val="372F2D"/>
        <w:shd w:val="clear" w:color="auto" w:fill="FFFFFF"/>
      </w:rPr>
      <w:t>28321326Q00000126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DAD"/>
    <w:rsid w:val="00035C5F"/>
    <w:rsid w:val="0017786D"/>
    <w:rsid w:val="001F21F0"/>
    <w:rsid w:val="003E5186"/>
    <w:rsid w:val="003F3520"/>
    <w:rsid w:val="00462E77"/>
    <w:rsid w:val="006C3451"/>
    <w:rsid w:val="00712DAD"/>
    <w:rsid w:val="008B1CEB"/>
    <w:rsid w:val="009D3900"/>
    <w:rsid w:val="00B30821"/>
    <w:rsid w:val="00B44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78C5A"/>
  <w15:chartTrackingRefBased/>
  <w15:docId w15:val="{37569E91-B18A-417F-BAF3-FB2970419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2D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2D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2D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2D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2D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2D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2D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2D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2D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2D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2D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2D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2D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2D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2D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2D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2D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2DAD"/>
    <w:rPr>
      <w:rFonts w:eastAsiaTheme="majorEastAsia" w:cstheme="majorBidi"/>
      <w:color w:val="272727" w:themeColor="text1" w:themeTint="D8"/>
    </w:rPr>
  </w:style>
  <w:style w:type="paragraph" w:styleId="Title">
    <w:name w:val="Title"/>
    <w:basedOn w:val="Normal"/>
    <w:next w:val="Normal"/>
    <w:link w:val="TitleChar"/>
    <w:uiPriority w:val="10"/>
    <w:qFormat/>
    <w:rsid w:val="00712D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2D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2D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2D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2DAD"/>
    <w:pPr>
      <w:spacing w:before="160"/>
      <w:jc w:val="center"/>
    </w:pPr>
    <w:rPr>
      <w:i/>
      <w:iCs/>
      <w:color w:val="404040" w:themeColor="text1" w:themeTint="BF"/>
    </w:rPr>
  </w:style>
  <w:style w:type="character" w:customStyle="1" w:styleId="QuoteChar">
    <w:name w:val="Quote Char"/>
    <w:basedOn w:val="DefaultParagraphFont"/>
    <w:link w:val="Quote"/>
    <w:uiPriority w:val="29"/>
    <w:rsid w:val="00712DAD"/>
    <w:rPr>
      <w:i/>
      <w:iCs/>
      <w:color w:val="404040" w:themeColor="text1" w:themeTint="BF"/>
    </w:rPr>
  </w:style>
  <w:style w:type="paragraph" w:styleId="ListParagraph">
    <w:name w:val="List Paragraph"/>
    <w:basedOn w:val="Normal"/>
    <w:uiPriority w:val="34"/>
    <w:qFormat/>
    <w:rsid w:val="00712DAD"/>
    <w:pPr>
      <w:ind w:left="720"/>
      <w:contextualSpacing/>
    </w:pPr>
  </w:style>
  <w:style w:type="character" w:styleId="IntenseEmphasis">
    <w:name w:val="Intense Emphasis"/>
    <w:basedOn w:val="DefaultParagraphFont"/>
    <w:uiPriority w:val="21"/>
    <w:qFormat/>
    <w:rsid w:val="00712DAD"/>
    <w:rPr>
      <w:i/>
      <w:iCs/>
      <w:color w:val="0F4761" w:themeColor="accent1" w:themeShade="BF"/>
    </w:rPr>
  </w:style>
  <w:style w:type="paragraph" w:styleId="IntenseQuote">
    <w:name w:val="Intense Quote"/>
    <w:basedOn w:val="Normal"/>
    <w:next w:val="Normal"/>
    <w:link w:val="IntenseQuoteChar"/>
    <w:uiPriority w:val="30"/>
    <w:qFormat/>
    <w:rsid w:val="00712D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2DAD"/>
    <w:rPr>
      <w:i/>
      <w:iCs/>
      <w:color w:val="0F4761" w:themeColor="accent1" w:themeShade="BF"/>
    </w:rPr>
  </w:style>
  <w:style w:type="character" w:styleId="IntenseReference">
    <w:name w:val="Intense Reference"/>
    <w:basedOn w:val="DefaultParagraphFont"/>
    <w:uiPriority w:val="32"/>
    <w:qFormat/>
    <w:rsid w:val="00712DAD"/>
    <w:rPr>
      <w:b/>
      <w:bCs/>
      <w:smallCaps/>
      <w:color w:val="0F4761" w:themeColor="accent1" w:themeShade="BF"/>
      <w:spacing w:val="5"/>
    </w:rPr>
  </w:style>
  <w:style w:type="paragraph" w:styleId="Header">
    <w:name w:val="header"/>
    <w:basedOn w:val="Normal"/>
    <w:link w:val="HeaderChar"/>
    <w:uiPriority w:val="99"/>
    <w:unhideWhenUsed/>
    <w:rsid w:val="00712D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2DAD"/>
  </w:style>
  <w:style w:type="paragraph" w:styleId="Footer">
    <w:name w:val="footer"/>
    <w:basedOn w:val="Normal"/>
    <w:link w:val="FooterChar"/>
    <w:uiPriority w:val="99"/>
    <w:unhideWhenUsed/>
    <w:rsid w:val="00712D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2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34</TotalTime>
  <Pages>15</Pages>
  <Words>4193</Words>
  <Characters>23901</Characters>
  <Application>Microsoft Office Word</Application>
  <DocSecurity>0</DocSecurity>
  <Lines>199</Lines>
  <Paragraphs>56</Paragraphs>
  <ScaleCrop>false</ScaleCrop>
  <Company>Social Security Administration</Company>
  <LinksUpToDate>false</LinksUpToDate>
  <CharactersWithSpaces>28038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Requena, Juan</dc:creator>
  <cp:keywords/>
  <dc:description/>
  <cp:lastModifiedBy>Requena, Juan</cp:lastModifiedBy>
  <cp:revision>8</cp:revision>
  <dcterms:created xsi:type="dcterms:W3CDTF">2026-05-12T15:35:00Z</dcterms:created>
  <dcterms:modified xsi:type="dcterms:W3CDTF">2026-05-15T13:02:00Z</dcterms:modified>
</cp:coreProperties>
</file>