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327EA" w:rsidRDefault="00214F28">
      <w:pPr>
        <w:jc w:val="center"/>
        <w:rPr>
          <w:rFonts w:ascii="Montserrat" w:eastAsia="Montserrat" w:hAnsi="Montserrat" w:cs="Montserrat"/>
          <w:b/>
          <w:bCs/>
          <w:color w:val="002C5B"/>
          <w:sz w:val="32"/>
          <w:szCs w:val="32"/>
          <w:shd w:val="clear" w:color="auto" w:fill="F4CCCC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bCs/>
          <w:color w:val="002C5B"/>
          <w:sz w:val="30"/>
          <w:szCs w:val="30"/>
        </w:rPr>
        <w:t xml:space="preserve">CITY RECORD / COMMBUYS </w:t>
      </w:r>
    </w:p>
    <w:p w14:paraId="00000002" w14:textId="77777777" w:rsidR="00F327EA" w:rsidRDefault="00214F28">
      <w:pPr>
        <w:jc w:val="center"/>
        <w:rPr>
          <w:rFonts w:ascii="Montserrat" w:eastAsia="Montserrat" w:hAnsi="Montserrat" w:cs="Montserrat"/>
          <w:b/>
          <w:bCs/>
          <w:color w:val="002C5B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002C5B"/>
          <w:sz w:val="28"/>
          <w:szCs w:val="28"/>
        </w:rPr>
        <w:t>INVITATION FOR BIDS (IFB) ADVERTISEMENT</w:t>
      </w:r>
    </w:p>
    <w:p w14:paraId="00000003" w14:textId="77777777" w:rsidR="00F327EA" w:rsidRDefault="00F327EA">
      <w:pPr>
        <w:jc w:val="center"/>
        <w:rPr>
          <w:rFonts w:ascii="Montserrat" w:eastAsia="Montserrat" w:hAnsi="Montserrat" w:cs="Montserrat"/>
          <w:b/>
          <w:bCs/>
          <w:color w:val="FF0000"/>
          <w:sz w:val="28"/>
          <w:szCs w:val="28"/>
        </w:rPr>
      </w:pPr>
    </w:p>
    <w:p w14:paraId="00000004" w14:textId="77777777" w:rsidR="00F327EA" w:rsidRDefault="00214F28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30130000</w:t>
      </w:r>
    </w:p>
    <w:p w14:paraId="00000005" w14:textId="77777777" w:rsidR="00F327EA" w:rsidRDefault="00214F28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OFFICE OF HISTORIC PRESERVATION</w:t>
      </w:r>
    </w:p>
    <w:p w14:paraId="00000006" w14:textId="77777777" w:rsidR="00F327EA" w:rsidRDefault="00F327EA">
      <w:pPr>
        <w:rPr>
          <w:rFonts w:ascii="Montserrat" w:eastAsia="Montserrat" w:hAnsi="Montserrat" w:cs="Montserrat"/>
          <w:b/>
          <w:bCs/>
          <w:color w:val="1A86C6"/>
        </w:rPr>
      </w:pPr>
    </w:p>
    <w:p w14:paraId="00000007" w14:textId="77777777" w:rsidR="00F327EA" w:rsidRDefault="00214F28">
      <w:pPr>
        <w:spacing w:after="200" w:line="276" w:lineRule="auto"/>
        <w:rPr>
          <w:rFonts w:ascii="Montserrat" w:eastAsia="Montserrat" w:hAnsi="Montserrat" w:cs="Montserrat"/>
          <w:b/>
          <w:bCs/>
          <w:color w:val="1A86C6"/>
          <w:sz w:val="26"/>
          <w:szCs w:val="26"/>
        </w:rPr>
      </w:pPr>
      <w:r>
        <w:rPr>
          <w:rFonts w:ascii="Montserrat" w:eastAsia="Montserrat" w:hAnsi="Montserrat" w:cs="Montserrat"/>
          <w:b/>
          <w:bCs/>
          <w:color w:val="1A86C6"/>
          <w:sz w:val="26"/>
          <w:szCs w:val="26"/>
        </w:rPr>
        <w:t>INVITATION FOR BIDS</w:t>
      </w:r>
    </w:p>
    <w:p w14:paraId="00000008" w14:textId="77777777" w:rsidR="00F327EA" w:rsidRDefault="00214F28">
      <w:pPr>
        <w:pStyle w:val="Title"/>
        <w:spacing w:before="0" w:after="200" w:line="276" w:lineRule="auto"/>
        <w:rPr>
          <w:rFonts w:ascii="Montserrat" w:eastAsia="Montserrat" w:hAnsi="Montserrat" w:cs="Montserrat"/>
          <w:color w:val="1A86C6"/>
          <w:sz w:val="26"/>
          <w:szCs w:val="26"/>
        </w:rPr>
      </w:pPr>
      <w:bookmarkStart w:id="1" w:name="_heading=h.hxojapcy3b7h" w:colFirst="0" w:colLast="0"/>
      <w:bookmarkEnd w:id="1"/>
      <w:r>
        <w:rPr>
          <w:rFonts w:ascii="Montserrat" w:eastAsia="Montserrat" w:hAnsi="Montserrat" w:cs="Montserrat"/>
          <w:color w:val="1A86C6"/>
          <w:sz w:val="26"/>
          <w:szCs w:val="26"/>
        </w:rPr>
        <w:t>CAPEN HOUSE FRAME ASSEMBLAGE ACQUISITION</w:t>
      </w:r>
    </w:p>
    <w:p w14:paraId="00000009" w14:textId="77777777" w:rsidR="00F327EA" w:rsidRDefault="00214F28">
      <w:pPr>
        <w:spacing w:line="276" w:lineRule="auto"/>
        <w:rPr>
          <w:rFonts w:ascii="Lora" w:eastAsia="Lora" w:hAnsi="Lora" w:cs="Lora"/>
        </w:rPr>
      </w:pPr>
      <w:r>
        <w:rPr>
          <w:rFonts w:ascii="Lora" w:eastAsia="Lora" w:hAnsi="Lora" w:cs="Lora"/>
          <w:b/>
          <w:bCs/>
          <w:i/>
          <w:iCs/>
        </w:rPr>
        <w:t>EV00017422</w:t>
      </w:r>
    </w:p>
    <w:p w14:paraId="0000000A" w14:textId="77777777" w:rsidR="00F327EA" w:rsidRDefault="00214F28">
      <w:pPr>
        <w:spacing w:after="200"/>
        <w:rPr>
          <w:rFonts w:ascii="Lora" w:eastAsia="Lora" w:hAnsi="Lora" w:cs="Lora"/>
          <w:b/>
          <w:bCs/>
          <w:i/>
          <w:iCs/>
        </w:rPr>
      </w:pPr>
      <w:r>
        <w:rPr>
          <w:rFonts w:ascii="Lora" w:eastAsia="Lora" w:hAnsi="Lora" w:cs="Lora"/>
          <w:b/>
          <w:bCs/>
          <w:i/>
          <w:iCs/>
        </w:rPr>
        <w:t>M.G.L. c. 30B</w:t>
      </w:r>
    </w:p>
    <w:p w14:paraId="0000000B" w14:textId="77777777" w:rsidR="00F327EA" w:rsidRDefault="00214F28">
      <w:pPr>
        <w:pStyle w:val="Heading1"/>
        <w:spacing w:before="200" w:after="20" w:line="276" w:lineRule="auto"/>
        <w:rPr>
          <w:rFonts w:ascii="Montserrat" w:eastAsia="Montserrat" w:hAnsi="Montserrat" w:cs="Montserrat"/>
          <w:color w:val="939698"/>
          <w:sz w:val="20"/>
          <w:szCs w:val="20"/>
        </w:rPr>
      </w:pPr>
      <w:bookmarkStart w:id="2" w:name="_heading=h.g02uptpmvz0" w:colFirst="0" w:colLast="0"/>
      <w:bookmarkEnd w:id="2"/>
      <w:r>
        <w:rPr>
          <w:rFonts w:ascii="Montserrat" w:eastAsia="Montserrat" w:hAnsi="Montserrat" w:cs="Montserrat"/>
          <w:color w:val="939698"/>
          <w:sz w:val="20"/>
          <w:szCs w:val="20"/>
        </w:rPr>
        <w:t xml:space="preserve">CONTACT INFORMATION </w:t>
      </w:r>
    </w:p>
    <w:p w14:paraId="0000000C" w14:textId="77777777" w:rsidR="00F327EA" w:rsidRDefault="00214F28">
      <w:pPr>
        <w:pStyle w:val="Heading3"/>
        <w:spacing w:before="0" w:after="0" w:line="276" w:lineRule="auto"/>
        <w:rPr>
          <w:rFonts w:ascii="Lora" w:eastAsia="Lora" w:hAnsi="Lora" w:cs="Lora"/>
          <w:b w:val="0"/>
          <w:bCs w:val="0"/>
          <w:i/>
          <w:iCs/>
          <w:sz w:val="20"/>
          <w:szCs w:val="20"/>
        </w:rPr>
      </w:pPr>
      <w:bookmarkStart w:id="3" w:name="_heading=h.2sx1aehf40d2" w:colFirst="0" w:colLast="0"/>
      <w:bookmarkEnd w:id="3"/>
      <w:r>
        <w:rPr>
          <w:rFonts w:ascii="Lora" w:eastAsia="Lora" w:hAnsi="Lora" w:cs="Lora"/>
          <w:b w:val="0"/>
          <w:bCs w:val="0"/>
          <w:i/>
          <w:iCs/>
          <w:sz w:val="20"/>
          <w:szCs w:val="20"/>
        </w:rPr>
        <w:t xml:space="preserve">Joseph Bagley </w:t>
      </w:r>
    </w:p>
    <w:p w14:paraId="0000000D" w14:textId="77777777" w:rsidR="00F327EA" w:rsidRDefault="00214F28">
      <w:pPr>
        <w:pStyle w:val="Heading3"/>
        <w:spacing w:before="0" w:after="0" w:line="276" w:lineRule="auto"/>
        <w:rPr>
          <w:rFonts w:ascii="Lora" w:eastAsia="Lora" w:hAnsi="Lora" w:cs="Lora"/>
          <w:b w:val="0"/>
          <w:bCs w:val="0"/>
          <w:i/>
          <w:iCs/>
          <w:sz w:val="20"/>
          <w:szCs w:val="20"/>
        </w:rPr>
      </w:pPr>
      <w:bookmarkStart w:id="4" w:name="_heading=h.50jc47vxxb1g" w:colFirst="0" w:colLast="0"/>
      <w:bookmarkEnd w:id="4"/>
      <w:r>
        <w:rPr>
          <w:rFonts w:ascii="Lora" w:eastAsia="Lora" w:hAnsi="Lora" w:cs="Lora"/>
          <w:b w:val="0"/>
          <w:bCs w:val="0"/>
          <w:i/>
          <w:iCs/>
          <w:sz w:val="20"/>
          <w:szCs w:val="20"/>
        </w:rPr>
        <w:t>617-635-3097</w:t>
      </w:r>
    </w:p>
    <w:p w14:paraId="0000000E" w14:textId="77777777" w:rsidR="00F327EA" w:rsidRDefault="00214F28">
      <w:pPr>
        <w:pStyle w:val="Heading3"/>
        <w:spacing w:before="0" w:after="0" w:line="276" w:lineRule="auto"/>
        <w:rPr>
          <w:rFonts w:ascii="Lora" w:eastAsia="Lora" w:hAnsi="Lora" w:cs="Lora"/>
          <w:b w:val="0"/>
          <w:bCs w:val="0"/>
          <w:i/>
          <w:iCs/>
          <w:sz w:val="20"/>
          <w:szCs w:val="20"/>
        </w:rPr>
      </w:pPr>
      <w:bookmarkStart w:id="5" w:name="_heading=h.2neza3abza7g" w:colFirst="0" w:colLast="0"/>
      <w:bookmarkEnd w:id="5"/>
      <w:r>
        <w:rPr>
          <w:rFonts w:ascii="Lora" w:eastAsia="Lora" w:hAnsi="Lora" w:cs="Lora"/>
          <w:b w:val="0"/>
          <w:bCs w:val="0"/>
          <w:i/>
          <w:iCs/>
          <w:sz w:val="20"/>
          <w:szCs w:val="20"/>
        </w:rPr>
        <w:t>Joseph.Bagley@boston.gov</w:t>
      </w:r>
    </w:p>
    <w:p w14:paraId="0000000F" w14:textId="77777777" w:rsidR="00F327EA" w:rsidRDefault="00F327EA">
      <w:pPr>
        <w:rPr>
          <w:rFonts w:ascii="Arial" w:eastAsia="Arial" w:hAnsi="Arial" w:cs="Arial"/>
          <w:color w:val="C0504D"/>
          <w:sz w:val="20"/>
          <w:szCs w:val="20"/>
        </w:rPr>
      </w:pPr>
    </w:p>
    <w:p w14:paraId="00000010" w14:textId="77777777" w:rsidR="00F327EA" w:rsidRDefault="00214F28">
      <w:pPr>
        <w:spacing w:line="276" w:lineRule="auto"/>
        <w:rPr>
          <w:rFonts w:ascii="Lora" w:eastAsia="Lora" w:hAnsi="Lora" w:cs="Lora"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 xml:space="preserve">The City of Boston, acting by the Archaeology Program within the Office of Historic </w:t>
      </w:r>
      <w:proofErr w:type="gramStart"/>
      <w:r>
        <w:rPr>
          <w:rFonts w:ascii="Lora" w:eastAsia="Lora" w:hAnsi="Lora" w:cs="Lora"/>
          <w:sz w:val="21"/>
          <w:szCs w:val="21"/>
        </w:rPr>
        <w:t>Preservation ,</w:t>
      </w:r>
      <w:proofErr w:type="gramEnd"/>
      <w:r>
        <w:rPr>
          <w:rFonts w:ascii="Lora" w:eastAsia="Lora" w:hAnsi="Lora" w:cs="Lora"/>
          <w:sz w:val="21"/>
          <w:szCs w:val="21"/>
        </w:rPr>
        <w:t xml:space="preserve"> 26 Court Street Floor 2, Boston, MA 02108, hereinafter referred to as the Awarding Authority, hereby invites sealed bids for the pr</w:t>
      </w:r>
      <w:r>
        <w:rPr>
          <w:rFonts w:ascii="Lora" w:eastAsia="Lora" w:hAnsi="Lora" w:cs="Lora"/>
          <w:sz w:val="21"/>
          <w:szCs w:val="21"/>
        </w:rPr>
        <w:t xml:space="preserve">oject listed above. </w:t>
      </w:r>
    </w:p>
    <w:p w14:paraId="00000011" w14:textId="77777777" w:rsidR="00F327EA" w:rsidRDefault="00F327EA">
      <w:pPr>
        <w:spacing w:line="276" w:lineRule="auto"/>
        <w:rPr>
          <w:rFonts w:ascii="Lora" w:eastAsia="Lora" w:hAnsi="Lora" w:cs="Lora"/>
          <w:sz w:val="21"/>
          <w:szCs w:val="21"/>
        </w:rPr>
      </w:pPr>
    </w:p>
    <w:p w14:paraId="00000012" w14:textId="77777777" w:rsidR="00F327EA" w:rsidRDefault="00214F28">
      <w:pPr>
        <w:spacing w:line="276" w:lineRule="auto"/>
        <w:rPr>
          <w:rFonts w:ascii="Lora" w:eastAsia="Lora" w:hAnsi="Lora" w:cs="Lora"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 xml:space="preserve">Bids will be solicited from interested vendors through the City of Boston’s Supplier Portal: </w:t>
      </w:r>
      <w:hyperlink r:id="rId7">
        <w:r>
          <w:rPr>
            <w:rFonts w:ascii="Lora" w:eastAsia="Lora" w:hAnsi="Lora" w:cs="Lora"/>
            <w:color w:val="1155CC"/>
            <w:sz w:val="21"/>
            <w:szCs w:val="21"/>
            <w:u w:val="single"/>
          </w:rPr>
          <w:t>boston.gov/departments/procurement</w:t>
        </w:r>
      </w:hyperlink>
      <w:r>
        <w:rPr>
          <w:rFonts w:ascii="Lora" w:eastAsia="Lora" w:hAnsi="Lora" w:cs="Lora"/>
          <w:sz w:val="21"/>
          <w:szCs w:val="21"/>
        </w:rPr>
        <w:t xml:space="preserve">. </w:t>
      </w:r>
    </w:p>
    <w:p w14:paraId="00000013" w14:textId="77777777" w:rsidR="00F327EA" w:rsidRDefault="00F327EA">
      <w:pPr>
        <w:spacing w:line="276" w:lineRule="auto"/>
        <w:rPr>
          <w:rFonts w:ascii="Lora" w:eastAsia="Lora" w:hAnsi="Lora" w:cs="Lora"/>
          <w:sz w:val="21"/>
          <w:szCs w:val="21"/>
        </w:rPr>
      </w:pPr>
    </w:p>
    <w:p w14:paraId="00000014" w14:textId="77777777" w:rsidR="00F327EA" w:rsidRDefault="00214F28">
      <w:pPr>
        <w:spacing w:line="276" w:lineRule="auto"/>
        <w:rPr>
          <w:rFonts w:ascii="Lora" w:eastAsia="Lora" w:hAnsi="Lora" w:cs="Lora"/>
          <w:b/>
          <w:bCs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 xml:space="preserve">All bids for this project are subject to all applicable provisions of law and in accordance with the terms and provisions of the contract documents entitled: </w:t>
      </w:r>
      <w:proofErr w:type="spellStart"/>
      <w:r>
        <w:rPr>
          <w:rFonts w:ascii="Lora" w:eastAsia="Lora" w:hAnsi="Lora" w:cs="Lora"/>
          <w:b/>
          <w:bCs/>
          <w:sz w:val="21"/>
          <w:szCs w:val="21"/>
        </w:rPr>
        <w:t>Capen</w:t>
      </w:r>
      <w:proofErr w:type="spellEnd"/>
      <w:r>
        <w:rPr>
          <w:rFonts w:ascii="Lora" w:eastAsia="Lora" w:hAnsi="Lora" w:cs="Lora"/>
          <w:b/>
          <w:bCs/>
          <w:sz w:val="21"/>
          <w:szCs w:val="21"/>
        </w:rPr>
        <w:t xml:space="preserve"> House Frame Assemblage Acquisition.</w:t>
      </w:r>
    </w:p>
    <w:p w14:paraId="00000015" w14:textId="77777777" w:rsidR="00F327EA" w:rsidRDefault="00F327EA">
      <w:pPr>
        <w:spacing w:line="276" w:lineRule="auto"/>
        <w:rPr>
          <w:rFonts w:ascii="Lora" w:eastAsia="Lora" w:hAnsi="Lora" w:cs="Lora"/>
          <w:sz w:val="21"/>
          <w:szCs w:val="21"/>
        </w:rPr>
      </w:pPr>
    </w:p>
    <w:p w14:paraId="00000016" w14:textId="77777777" w:rsidR="00F327EA" w:rsidRDefault="00214F28">
      <w:pPr>
        <w:spacing w:line="276" w:lineRule="auto"/>
        <w:rPr>
          <w:rFonts w:ascii="Lora" w:eastAsia="Lora" w:hAnsi="Lora" w:cs="Lora"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 xml:space="preserve">Bids must be submitted </w:t>
      </w:r>
      <w:r>
        <w:rPr>
          <w:rFonts w:ascii="Lora" w:eastAsia="Lora" w:hAnsi="Lora" w:cs="Lora"/>
          <w:b/>
          <w:bCs/>
          <w:sz w:val="21"/>
          <w:szCs w:val="21"/>
        </w:rPr>
        <w:t>before 4:00 P.M., Boston time, J</w:t>
      </w:r>
      <w:r>
        <w:rPr>
          <w:rFonts w:ascii="Lora" w:eastAsia="Lora" w:hAnsi="Lora" w:cs="Lora"/>
          <w:b/>
          <w:bCs/>
          <w:sz w:val="21"/>
          <w:szCs w:val="21"/>
        </w:rPr>
        <w:t xml:space="preserve">uly 20, 2026 – Monday </w:t>
      </w:r>
      <w:r>
        <w:rPr>
          <w:rFonts w:ascii="Lora" w:eastAsia="Lora" w:hAnsi="Lora" w:cs="Lora"/>
          <w:sz w:val="21"/>
          <w:szCs w:val="21"/>
        </w:rPr>
        <w:t>and opened forthwith.</w:t>
      </w:r>
    </w:p>
    <w:p w14:paraId="00000017" w14:textId="77777777" w:rsidR="00F327EA" w:rsidRDefault="00F327EA">
      <w:pPr>
        <w:spacing w:line="276" w:lineRule="auto"/>
        <w:rPr>
          <w:rFonts w:ascii="Lora" w:eastAsia="Lora" w:hAnsi="Lora" w:cs="Lora"/>
          <w:sz w:val="21"/>
          <w:szCs w:val="21"/>
        </w:rPr>
      </w:pPr>
    </w:p>
    <w:p w14:paraId="00000018" w14:textId="77777777" w:rsidR="00F327EA" w:rsidRDefault="00214F28">
      <w:pPr>
        <w:spacing w:line="276" w:lineRule="auto"/>
        <w:rPr>
          <w:rFonts w:ascii="Lora" w:eastAsia="Lora" w:hAnsi="Lora" w:cs="Lora"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>The IFB documents will be available</w:t>
      </w:r>
      <w:r>
        <w:rPr>
          <w:rFonts w:ascii="Lora" w:eastAsia="Lora" w:hAnsi="Lora" w:cs="Lora"/>
          <w:b/>
          <w:bCs/>
          <w:sz w:val="21"/>
          <w:szCs w:val="21"/>
        </w:rPr>
        <w:t xml:space="preserve"> on or about July 6, 2026 – Monday, at 9:00 A.M., Boston time</w:t>
      </w:r>
      <w:r>
        <w:rPr>
          <w:rFonts w:ascii="Lora" w:eastAsia="Lora" w:hAnsi="Lora" w:cs="Lora"/>
          <w:sz w:val="21"/>
          <w:szCs w:val="21"/>
        </w:rPr>
        <w:t xml:space="preserve">. </w:t>
      </w:r>
    </w:p>
    <w:p w14:paraId="00000019" w14:textId="77777777" w:rsidR="00F327EA" w:rsidRDefault="00F327EA">
      <w:pPr>
        <w:spacing w:line="276" w:lineRule="auto"/>
        <w:rPr>
          <w:rFonts w:ascii="Lora" w:eastAsia="Lora" w:hAnsi="Lora" w:cs="Lora"/>
          <w:sz w:val="21"/>
          <w:szCs w:val="21"/>
        </w:rPr>
      </w:pPr>
    </w:p>
    <w:p w14:paraId="0000001A" w14:textId="77777777" w:rsidR="00F327EA" w:rsidRDefault="00214F28">
      <w:pPr>
        <w:spacing w:line="276" w:lineRule="auto"/>
        <w:rPr>
          <w:rFonts w:ascii="Lora" w:eastAsia="Lora" w:hAnsi="Lora" w:cs="Lora"/>
          <w:sz w:val="21"/>
          <w:szCs w:val="21"/>
        </w:rPr>
      </w:pPr>
      <w:r>
        <w:rPr>
          <w:rFonts w:ascii="Lora" w:eastAsia="Lora" w:hAnsi="Lora" w:cs="Lora"/>
          <w:sz w:val="21"/>
          <w:szCs w:val="21"/>
        </w:rPr>
        <w:t xml:space="preserve">The City of Boston Archaeology Program seeks to acquire the dismantled timber frame assembled elements of the 1675 </w:t>
      </w:r>
      <w:proofErr w:type="spellStart"/>
      <w:r>
        <w:rPr>
          <w:rFonts w:ascii="Lora" w:eastAsia="Lora" w:hAnsi="Lora" w:cs="Lora"/>
          <w:sz w:val="21"/>
          <w:szCs w:val="21"/>
        </w:rPr>
        <w:t>Capen</w:t>
      </w:r>
      <w:proofErr w:type="spellEnd"/>
      <w:r>
        <w:rPr>
          <w:rFonts w:ascii="Lora" w:eastAsia="Lora" w:hAnsi="Lora" w:cs="Lora"/>
          <w:sz w:val="21"/>
          <w:szCs w:val="21"/>
        </w:rPr>
        <w:t xml:space="preserve"> House originally built in the Dorchester neighborhood of Boston. This assemblage is currently in storage. Services are limited to the </w:t>
      </w:r>
      <w:proofErr w:type="spellStart"/>
      <w:r>
        <w:rPr>
          <w:rFonts w:ascii="Lora" w:eastAsia="Lora" w:hAnsi="Lora" w:cs="Lora"/>
          <w:sz w:val="21"/>
          <w:szCs w:val="21"/>
        </w:rPr>
        <w:t>t</w:t>
      </w:r>
      <w:r>
        <w:rPr>
          <w:rFonts w:ascii="Lora" w:eastAsia="Lora" w:hAnsi="Lora" w:cs="Lora"/>
          <w:sz w:val="21"/>
          <w:szCs w:val="21"/>
        </w:rPr>
        <w:t>ransferral</w:t>
      </w:r>
      <w:proofErr w:type="spellEnd"/>
      <w:r>
        <w:rPr>
          <w:rFonts w:ascii="Lora" w:eastAsia="Lora" w:hAnsi="Lora" w:cs="Lora"/>
          <w:sz w:val="21"/>
          <w:szCs w:val="21"/>
        </w:rPr>
        <w:t xml:space="preserve"> of ownership of the original 1675 Cape House frame assemblage as a single composite object.</w:t>
      </w:r>
    </w:p>
    <w:p w14:paraId="0000001B" w14:textId="77777777" w:rsidR="00F327EA" w:rsidRDefault="00F327EA">
      <w:pPr>
        <w:spacing w:line="276" w:lineRule="auto"/>
        <w:rPr>
          <w:rFonts w:ascii="Lora" w:eastAsia="Lora" w:hAnsi="Lora" w:cs="Lora"/>
          <w:sz w:val="21"/>
          <w:szCs w:val="21"/>
        </w:rPr>
      </w:pPr>
    </w:p>
    <w:p w14:paraId="0000001C" w14:textId="77777777" w:rsidR="00F327EA" w:rsidRDefault="00214F28">
      <w:pPr>
        <w:pStyle w:val="Heading4"/>
        <w:spacing w:before="0" w:after="0"/>
        <w:rPr>
          <w:rFonts w:ascii="Montserrat" w:eastAsia="Montserrat" w:hAnsi="Montserrat" w:cs="Montserrat"/>
          <w:color w:val="002C5B"/>
          <w:sz w:val="20"/>
          <w:szCs w:val="20"/>
        </w:rPr>
      </w:pPr>
      <w:bookmarkStart w:id="6" w:name="_heading=h.tygvkv295c" w:colFirst="0" w:colLast="0"/>
      <w:bookmarkEnd w:id="6"/>
      <w:r>
        <w:rPr>
          <w:rFonts w:ascii="Montserrat" w:eastAsia="Montserrat" w:hAnsi="Montserrat" w:cs="Montserrat"/>
          <w:color w:val="002C5B"/>
          <w:sz w:val="20"/>
          <w:szCs w:val="20"/>
        </w:rPr>
        <w:t xml:space="preserve">Katherine </w:t>
      </w:r>
      <w:proofErr w:type="spellStart"/>
      <w:r>
        <w:rPr>
          <w:rFonts w:ascii="Montserrat" w:eastAsia="Montserrat" w:hAnsi="Montserrat" w:cs="Montserrat"/>
          <w:color w:val="002C5B"/>
          <w:sz w:val="20"/>
          <w:szCs w:val="20"/>
        </w:rPr>
        <w:t>Kottaridis</w:t>
      </w:r>
      <w:proofErr w:type="spellEnd"/>
      <w:r>
        <w:rPr>
          <w:rFonts w:ascii="Montserrat" w:eastAsia="Montserrat" w:hAnsi="Montserrat" w:cs="Montserrat"/>
          <w:color w:val="002C5B"/>
          <w:sz w:val="20"/>
          <w:szCs w:val="20"/>
        </w:rPr>
        <w:t>, Director of Historic Preservation</w:t>
      </w:r>
    </w:p>
    <w:p w14:paraId="0000001D" w14:textId="77777777" w:rsidR="00F327EA" w:rsidRDefault="00214F28">
      <w:pPr>
        <w:pStyle w:val="Heading5"/>
        <w:spacing w:before="0" w:after="0"/>
        <w:rPr>
          <w:rFonts w:ascii="Lora" w:eastAsia="Lora" w:hAnsi="Lora" w:cs="Lora"/>
          <w:b w:val="0"/>
          <w:bCs w:val="0"/>
          <w:i/>
          <w:iCs/>
          <w:color w:val="939698"/>
          <w:sz w:val="20"/>
          <w:szCs w:val="20"/>
        </w:rPr>
      </w:pPr>
      <w:bookmarkStart w:id="7" w:name="_heading=h.th02t6lb2omp" w:colFirst="0" w:colLast="0"/>
      <w:bookmarkEnd w:id="7"/>
      <w:r>
        <w:rPr>
          <w:rFonts w:ascii="Lora" w:eastAsia="Lora" w:hAnsi="Lora" w:cs="Lora"/>
          <w:b w:val="0"/>
          <w:bCs w:val="0"/>
          <w:i/>
          <w:iCs/>
          <w:color w:val="939698"/>
          <w:sz w:val="20"/>
          <w:szCs w:val="20"/>
        </w:rPr>
        <w:t xml:space="preserve">(July 6, June 13, 2026) </w:t>
      </w:r>
    </w:p>
    <w:p w14:paraId="0000001E" w14:textId="77777777" w:rsidR="00F327EA" w:rsidRDefault="00F327EA">
      <w:pPr>
        <w:pStyle w:val="Heading5"/>
        <w:spacing w:before="0" w:after="0"/>
        <w:rPr>
          <w:rFonts w:ascii="Montserrat" w:eastAsia="Montserrat" w:hAnsi="Montserrat" w:cs="Montserrat"/>
          <w:color w:val="002C5B"/>
          <w:sz w:val="20"/>
          <w:szCs w:val="20"/>
        </w:rPr>
      </w:pPr>
      <w:bookmarkStart w:id="8" w:name="_heading=h.wiuyewdkwysd" w:colFirst="0" w:colLast="0"/>
      <w:bookmarkEnd w:id="8"/>
    </w:p>
    <w:p w14:paraId="0000001F" w14:textId="77777777" w:rsidR="00F327EA" w:rsidRDefault="00F327EA">
      <w:pPr>
        <w:spacing w:before="120" w:after="120" w:line="276" w:lineRule="auto"/>
        <w:rPr>
          <w:rFonts w:ascii="Lora" w:eastAsia="Lora" w:hAnsi="Lora" w:cs="Lora"/>
          <w:color w:val="091F2F"/>
          <w:sz w:val="22"/>
          <w:szCs w:val="22"/>
        </w:rPr>
      </w:pPr>
    </w:p>
    <w:sectPr w:rsidR="00F327EA">
      <w:headerReference w:type="default" r:id="rId8"/>
      <w:footerReference w:type="default" r:id="rId9"/>
      <w:pgSz w:w="12240" w:h="15840"/>
      <w:pgMar w:top="576" w:right="1440" w:bottom="80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01364" w14:textId="77777777" w:rsidR="00214F28" w:rsidRDefault="00214F28">
      <w:r>
        <w:separator/>
      </w:r>
    </w:p>
  </w:endnote>
  <w:endnote w:type="continuationSeparator" w:id="0">
    <w:p w14:paraId="61342226" w14:textId="77777777" w:rsidR="00214F28" w:rsidRDefault="00214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248CEF5-A7DB-44A1-A4C0-A0D2297EAB79}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  <w:embedBold r:id="rId2" w:fontKey="{D2DB3E1B-ECD0-4CFE-85C0-A3E213B405DC}"/>
  </w:font>
  <w:font w:name="Lora">
    <w:panose1 w:val="02000503000000020004"/>
    <w:charset w:val="00"/>
    <w:family w:val="auto"/>
    <w:pitch w:val="variable"/>
    <w:sig w:usb0="00000207" w:usb1="00000000" w:usb2="00000000" w:usb3="00000000" w:csb0="00000097" w:csb1="00000000"/>
    <w:embedRegular r:id="rId3" w:fontKey="{88247491-8E64-4B81-BEEE-41132AAB9173}"/>
    <w:embedBold r:id="rId4" w:fontKey="{72B26122-2E01-4548-ADD2-9B3A9D209832}"/>
    <w:embedItalic r:id="rId5" w:fontKey="{D70F31C2-B64F-4BAF-A85B-1EEDC99A7A2B}"/>
    <w:embedBoldItalic r:id="rId6" w:fontKey="{458A5F54-6510-407E-A126-14E2DF58D3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7" w:fontKey="{606F5B04-498B-4BA4-96C5-BB3033E5C9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C05E37F-6E50-49AF-9794-E98B57845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1" w14:textId="77777777" w:rsidR="00F327EA" w:rsidRDefault="00F327EA">
    <w:pPr>
      <w:spacing w:before="120" w:after="120"/>
      <w:rPr>
        <w:rFonts w:ascii="Lora" w:eastAsia="Lora" w:hAnsi="Lora" w:cs="Lor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DD07B" w14:textId="77777777" w:rsidR="00214F28" w:rsidRDefault="00214F28">
      <w:r>
        <w:separator/>
      </w:r>
    </w:p>
  </w:footnote>
  <w:footnote w:type="continuationSeparator" w:id="0">
    <w:p w14:paraId="039A87EE" w14:textId="77777777" w:rsidR="00214F28" w:rsidRDefault="00214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0" w14:textId="77777777" w:rsidR="00F327EA" w:rsidRDefault="00F327EA">
    <w:pPr>
      <w:jc w:val="center"/>
      <w:rPr>
        <w:rFonts w:ascii="Montserrat" w:eastAsia="Montserrat" w:hAnsi="Montserrat" w:cs="Montserrat"/>
        <w:b/>
        <w:bCs/>
        <w:color w:val="FF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7EA"/>
    <w:rsid w:val="00214F28"/>
    <w:rsid w:val="00282444"/>
    <w:rsid w:val="00F3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B4B54-B0B2-49C1-8A24-E575A0D8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boston.gov/departments/procuremen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Y16Pru9mR4j0M4zVsMHWAp50nQ==">CgMxLjAyDmguaHhvamFwY3kzYjdoMg1oLmcwMnVwdHBtdnowMg5oLjJzeDFhZWhmNDBkMjIOaC41MGpjNDd2eHhiMWcyDmguMm5lemEzYWJ6YTdnMgxoLnR5Z3ZrdjI5NWMyDmgudGgwMnQ2bGIyb21wMg5oLndpdXlld2Rrd3lzZDgAciExTUphWGptTU4xaVBTcHNlcHk1dHp6Y29DbkVfRFU0SE8=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 Huang</dc:creator>
  <cp:lastModifiedBy>Jian Huang</cp:lastModifiedBy>
  <cp:revision>1</cp:revision>
  <dcterms:created xsi:type="dcterms:W3CDTF">2026-06-30T14:02:00Z</dcterms:created>
  <dcterms:modified xsi:type="dcterms:W3CDTF">2026-06-30T14:03:00Z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AME OF EVENT">
    <vt:lpwstr>NAME OF EVENT</vt:lpwstr>
  </property>
  <property fmtid="{D5CDD505-2E9C-101B-9397-08002B2CF9AE}" pid="3" name="Department Name">
    <vt:lpwstr>Department Name</vt:lpwstr>
  </property>
  <property fmtid="{D5CDD505-2E9C-101B-9397-08002B2CF9AE}" pid="4" name="8-DIGIT UNSPSC CODE">
    <vt:lpwstr>8-DIGIT UNSPSC CODE</vt:lpwstr>
  </property>
  <property fmtid="{D5CDD505-2E9C-101B-9397-08002B2CF9AE}" pid="5" name="SHORT HEADLINE /TITLE OF PROCUREMENT">
    <vt:lpwstr>SHORT HEADLINE /TITLE OF PROCUREMENT</vt:lpwstr>
  </property>
  <property fmtid="{D5CDD505-2E9C-101B-9397-08002B2CF9AE}" pid="6" name="Department Address">
    <vt:lpwstr>Department Address</vt:lpwstr>
  </property>
  <property fmtid="{D5CDD505-2E9C-101B-9397-08002B2CF9AE}" pid="7" name="Zip Code">
    <vt:lpwstr>Zip Code</vt:lpwstr>
  </property>
  <property fmtid="{D5CDD505-2E9C-101B-9397-08002B2CF9AE}" pid="8" name="Full name of RFP as it appears in the Supplier Portal">
    <vt:lpwstr>Full name of RFP as it appears in the Supplier Portal</vt:lpwstr>
  </property>
  <property fmtid="{D5CDD505-2E9C-101B-9397-08002B2CF9AE}" pid="9" name="RFP End Date - Day of the Week">
    <vt:lpwstr>RFP End Date - Day of the Week</vt:lpwstr>
  </property>
  <property fmtid="{D5CDD505-2E9C-101B-9397-08002B2CF9AE}" pid="10" name="RFP End Date - Month">
    <vt:lpwstr>RFP End Date - Month</vt:lpwstr>
  </property>
  <property fmtid="{D5CDD505-2E9C-101B-9397-08002B2CF9AE}" pid="11" name="RFP Start Date - Day">
    <vt:lpwstr>RFP Start Date - Day</vt:lpwstr>
  </property>
  <property fmtid="{D5CDD505-2E9C-101B-9397-08002B2CF9AE}" pid="12" name="RFP End Date - Year">
    <vt:lpwstr>RFP End Date - Year</vt:lpwstr>
  </property>
  <property fmtid="{D5CDD505-2E9C-101B-9397-08002B2CF9AE}" pid="13" name="RFP Start Date – Day of the Week">
    <vt:lpwstr>RFP Start Date – Day of the Week</vt:lpwstr>
  </property>
  <property fmtid="{D5CDD505-2E9C-101B-9397-08002B2CF9AE}" pid="14" name="Day">
    <vt:lpwstr>Day</vt:lpwstr>
  </property>
  <property fmtid="{D5CDD505-2E9C-101B-9397-08002B2CF9AE}" pid="15" name="Department Head Name">
    <vt:lpwstr>Department Head Name</vt:lpwstr>
  </property>
  <property fmtid="{D5CDD505-2E9C-101B-9397-08002B2CF9AE}" pid="16" name="Department Head Title">
    <vt:lpwstr>Department Head Title</vt:lpwstr>
  </property>
  <property fmtid="{D5CDD505-2E9C-101B-9397-08002B2CF9AE}" pid="17" name="First Ad Month">
    <vt:lpwstr>First Ad Month</vt:lpwstr>
  </property>
  <property fmtid="{D5CDD505-2E9C-101B-9397-08002B2CF9AE}" pid="18" name="Second Ad Month">
    <vt:lpwstr>Second Ad Month</vt:lpwstr>
  </property>
  <property fmtid="{D5CDD505-2E9C-101B-9397-08002B2CF9AE}" pid="19" name="First Name">
    <vt:lpwstr>First Name</vt:lpwstr>
  </property>
  <property fmtid="{D5CDD505-2E9C-101B-9397-08002B2CF9AE}" pid="20" name="Last Name">
    <vt:lpwstr>Last Name</vt:lpwstr>
  </property>
  <property fmtid="{D5CDD505-2E9C-101B-9397-08002B2CF9AE}" pid="21" name="Phone number">
    <vt:lpwstr>Phone number</vt:lpwstr>
  </property>
  <property fmtid="{D5CDD505-2E9C-101B-9397-08002B2CF9AE}" pid="22" name="First.Lastname@boston.gov">
    <vt:lpwstr>First.Lastname@boston.gov</vt:lpwstr>
  </property>
  <property fmtid="{D5CDD505-2E9C-101B-9397-08002B2CF9AE}" pid="23" name="First Ad Date">
    <vt:lpwstr>First Ad Date</vt:lpwstr>
  </property>
  <property fmtid="{D5CDD505-2E9C-101B-9397-08002B2CF9AE}" pid="24" name="Second Ad Date">
    <vt:lpwstr>Second Ad Date</vt:lpwstr>
  </property>
  <property fmtid="{D5CDD505-2E9C-101B-9397-08002B2CF9AE}" pid="25" name="EV000XXXXX">
    <vt:lpwstr>EV000XXXXX</vt:lpwstr>
  </property>
  <property fmtid="{D5CDD505-2E9C-101B-9397-08002B2CF9AE}" pid="26" name="RFP Start Date – Month">
    <vt:lpwstr>RFP Start Date – Month</vt:lpwstr>
  </property>
  <property fmtid="{D5CDD505-2E9C-101B-9397-08002B2CF9AE}" pid="27" name="RFP Start Date – Day">
    <vt:lpwstr>RFP Start Date – Day</vt:lpwstr>
  </property>
  <property fmtid="{D5CDD505-2E9C-101B-9397-08002B2CF9AE}" pid="28" name="RFP Start Date – Year">
    <vt:lpwstr>RFP Start Date – Year</vt:lpwstr>
  </property>
  <property fmtid="{D5CDD505-2E9C-101B-9397-08002B2CF9AE}" pid="29" name="IFB End Date – Day of the Week">
    <vt:lpwstr>IFB End Date – Day of the Week</vt:lpwstr>
  </property>
  <property fmtid="{D5CDD505-2E9C-101B-9397-08002B2CF9AE}" pid="30" name="IFB End Date – Month">
    <vt:lpwstr>IFB End Date – Month</vt:lpwstr>
  </property>
  <property fmtid="{D5CDD505-2E9C-101B-9397-08002B2CF9AE}" pid="31" name="IFB End Date – Day">
    <vt:lpwstr>IFB End Date – Day</vt:lpwstr>
  </property>
  <property fmtid="{D5CDD505-2E9C-101B-9397-08002B2CF9AE}" pid="32" name="IFB End Date – Year">
    <vt:lpwstr>IFB End Date – Year</vt:lpwstr>
  </property>
  <property fmtid="{D5CDD505-2E9C-101B-9397-08002B2CF9AE}" pid="33" name="IFB Start Date – Day of the Week">
    <vt:lpwstr>IFB Start Date – Day of the Week</vt:lpwstr>
  </property>
  <property fmtid="{D5CDD505-2E9C-101B-9397-08002B2CF9AE}" pid="34" name="IFB Start Date – Month">
    <vt:lpwstr>IFB Start Date – Month</vt:lpwstr>
  </property>
  <property fmtid="{D5CDD505-2E9C-101B-9397-08002B2CF9AE}" pid="35" name="IFB Start Date – Day">
    <vt:lpwstr>IFB Start Date – Day</vt:lpwstr>
  </property>
  <property fmtid="{D5CDD505-2E9C-101B-9397-08002B2CF9AE}" pid="36" name="IFB Start Date – Year">
    <vt:lpwstr>IFB Start Date – Year</vt:lpwstr>
  </property>
  <property fmtid="{D5CDD505-2E9C-101B-9397-08002B2CF9AE}" pid="37" name="Full name of IFB as it appears in the Supplier Portal">
    <vt:lpwstr>Full name of IFB as it appears in the Supplier Portal</vt:lpwstr>
  </property>
  <property fmtid="{D5CDD505-2E9C-101B-9397-08002B2CF9AE}" pid="38" name="EXAMPLE">
    <vt:lpwstr>EXAMPLE</vt:lpwstr>
  </property>
</Properties>
</file>