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B035" w14:textId="4E2853A8" w:rsidR="00A801E0" w:rsidRPr="0050088A" w:rsidRDefault="00D71AF3" w:rsidP="00BF782F">
      <w:pPr>
        <w:jc w:val="center"/>
        <w:rPr>
          <w:rFonts w:ascii="Calibri" w:hAnsi="Calibri" w:cs="Calibri"/>
          <w:b/>
          <w:bCs/>
          <w:sz w:val="36"/>
          <w:szCs w:val="36"/>
        </w:rPr>
      </w:pPr>
      <w:r w:rsidRPr="0050088A">
        <w:rPr>
          <w:rFonts w:ascii="Calibri" w:hAnsi="Calibri" w:cs="Calibri"/>
          <w:b/>
          <w:noProof/>
          <w:sz w:val="28"/>
        </w:rPr>
        <w:drawing>
          <wp:anchor distT="0" distB="0" distL="114300" distR="114300" simplePos="0" relativeHeight="251659264" behindDoc="0" locked="0" layoutInCell="1" allowOverlap="1" wp14:anchorId="23A5563C" wp14:editId="2A3B7BDB">
            <wp:simplePos x="0" y="0"/>
            <wp:positionH relativeFrom="margin">
              <wp:posOffset>332355</wp:posOffset>
            </wp:positionH>
            <wp:positionV relativeFrom="paragraph">
              <wp:posOffset>507</wp:posOffset>
            </wp:positionV>
            <wp:extent cx="731520" cy="819785"/>
            <wp:effectExtent l="0" t="0" r="0" b="0"/>
            <wp:wrapNone/>
            <wp:docPr id="1" name="Picture 1" descr="Department of Conservation and Recrea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Conservation and Recreation LO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 cy="819785"/>
                    </a:xfrm>
                    <a:prstGeom prst="rect">
                      <a:avLst/>
                    </a:prstGeom>
                  </pic:spPr>
                </pic:pic>
              </a:graphicData>
            </a:graphic>
            <wp14:sizeRelH relativeFrom="page">
              <wp14:pctWidth>0</wp14:pctWidth>
            </wp14:sizeRelH>
            <wp14:sizeRelV relativeFrom="page">
              <wp14:pctHeight>0</wp14:pctHeight>
            </wp14:sizeRelV>
          </wp:anchor>
        </w:drawing>
      </w:r>
      <w:r w:rsidR="00232B76" w:rsidRPr="0050088A">
        <w:rPr>
          <w:rFonts w:ascii="Calibri" w:hAnsi="Calibri" w:cs="Calibri"/>
          <w:b/>
          <w:bCs/>
          <w:sz w:val="36"/>
          <w:szCs w:val="36"/>
        </w:rPr>
        <w:t>Evaluation Criteria</w:t>
      </w:r>
    </w:p>
    <w:p w14:paraId="1F40D0F7" w14:textId="2BC9995E" w:rsidR="0038343A" w:rsidRPr="0050088A" w:rsidRDefault="0038343A" w:rsidP="0038343A">
      <w:pPr>
        <w:pStyle w:val="NoSpacing"/>
        <w:jc w:val="center"/>
        <w:rPr>
          <w:rStyle w:val="Strong"/>
          <w:rFonts w:ascii="Calibri" w:hAnsi="Calibri" w:cs="Calibri"/>
          <w:sz w:val="28"/>
          <w:szCs w:val="28"/>
        </w:rPr>
      </w:pPr>
      <w:r w:rsidRPr="0050088A">
        <w:rPr>
          <w:rStyle w:val="Strong"/>
          <w:rFonts w:ascii="Calibri" w:hAnsi="Calibri" w:cs="Calibri"/>
          <w:sz w:val="28"/>
          <w:szCs w:val="28"/>
        </w:rPr>
        <w:t xml:space="preserve">Document Title: </w:t>
      </w:r>
      <w:r w:rsidR="00FB0632">
        <w:rPr>
          <w:rFonts w:ascii="Calibri" w:hAnsi="Calibri" w:cs="Calibri"/>
          <w:b/>
          <w:bCs/>
          <w:sz w:val="28"/>
          <w:szCs w:val="28"/>
        </w:rPr>
        <w:t>Forest Landowner Assistance</w:t>
      </w:r>
    </w:p>
    <w:p w14:paraId="149D6388" w14:textId="0D194897" w:rsidR="0038343A" w:rsidRPr="0050088A" w:rsidRDefault="0038343A" w:rsidP="0038343A">
      <w:pPr>
        <w:pStyle w:val="NoSpacing"/>
        <w:jc w:val="center"/>
        <w:rPr>
          <w:rStyle w:val="Strong"/>
          <w:rFonts w:ascii="Calibri" w:hAnsi="Calibri" w:cs="Calibri"/>
          <w:sz w:val="28"/>
          <w:szCs w:val="28"/>
        </w:rPr>
      </w:pPr>
      <w:r w:rsidRPr="0050088A">
        <w:rPr>
          <w:rStyle w:val="Strong"/>
          <w:rFonts w:ascii="Calibri" w:hAnsi="Calibri" w:cs="Calibri"/>
          <w:sz w:val="28"/>
          <w:szCs w:val="28"/>
        </w:rPr>
        <w:t xml:space="preserve">Agency Document Number: DCR </w:t>
      </w:r>
      <w:r w:rsidR="00FB0632">
        <w:rPr>
          <w:rStyle w:val="Strong"/>
          <w:rFonts w:ascii="Calibri" w:hAnsi="Calibri" w:cs="Calibri"/>
          <w:sz w:val="28"/>
          <w:szCs w:val="28"/>
        </w:rPr>
        <w:t>996</w:t>
      </w:r>
    </w:p>
    <w:p w14:paraId="78FC6015" w14:textId="3633FA97" w:rsidR="0092235E" w:rsidRPr="0050088A" w:rsidRDefault="0038343A" w:rsidP="0092235E">
      <w:pPr>
        <w:pStyle w:val="NoSpacing"/>
        <w:jc w:val="center"/>
        <w:rPr>
          <w:rFonts w:ascii="Calibri" w:hAnsi="Calibri" w:cs="Calibri"/>
          <w:sz w:val="28"/>
          <w:szCs w:val="28"/>
        </w:rPr>
      </w:pPr>
      <w:r w:rsidRPr="0050088A">
        <w:rPr>
          <w:rStyle w:val="Strong"/>
          <w:rFonts w:ascii="Calibri" w:hAnsi="Calibri" w:cs="Calibri"/>
          <w:sz w:val="28"/>
          <w:szCs w:val="28"/>
        </w:rPr>
        <w:t>COMMBUYS BID</w:t>
      </w:r>
      <w:r w:rsidR="006E694F" w:rsidRPr="0050088A">
        <w:rPr>
          <w:rStyle w:val="Strong"/>
          <w:rFonts w:ascii="Calibri" w:hAnsi="Calibri" w:cs="Calibri"/>
          <w:sz w:val="28"/>
          <w:szCs w:val="28"/>
        </w:rPr>
        <w:t xml:space="preserve"> </w:t>
      </w:r>
      <w:r w:rsidR="009A1E62">
        <w:rPr>
          <w:rStyle w:val="Strong"/>
          <w:rFonts w:ascii="Calibri" w:hAnsi="Calibri" w:cs="Calibri"/>
          <w:sz w:val="28"/>
          <w:szCs w:val="28"/>
        </w:rPr>
        <w:t>Number</w:t>
      </w:r>
      <w:r w:rsidRPr="0050088A">
        <w:rPr>
          <w:rStyle w:val="Strong"/>
          <w:rFonts w:ascii="Calibri" w:hAnsi="Calibri" w:cs="Calibri"/>
          <w:sz w:val="28"/>
          <w:szCs w:val="28"/>
        </w:rPr>
        <w:t xml:space="preserve">: </w:t>
      </w:r>
      <w:r w:rsidR="00F07312" w:rsidRPr="00F07312">
        <w:rPr>
          <w:rStyle w:val="Strong"/>
          <w:rFonts w:ascii="Calibri" w:hAnsi="Calibri" w:cs="Calibri"/>
          <w:sz w:val="28"/>
          <w:szCs w:val="28"/>
        </w:rPr>
        <w:t>BD-27-1020-DCRCU-DC250-130585</w:t>
      </w:r>
    </w:p>
    <w:p w14:paraId="26F535E9" w14:textId="458C4330" w:rsidR="0092235E" w:rsidRDefault="0050088A" w:rsidP="0092235E">
      <w:pPr>
        <w:pStyle w:val="NoSpacing"/>
        <w:jc w:val="center"/>
        <w:rPr>
          <w:rFonts w:ascii="Aptos" w:hAnsi="Aptos"/>
          <w:sz w:val="24"/>
          <w:szCs w:val="24"/>
        </w:rPr>
      </w:pPr>
      <w:r>
        <w:rPr>
          <w:rFonts w:ascii="Aptos" w:hAnsi="Aptos"/>
          <w:noProof/>
          <w:sz w:val="24"/>
          <w:szCs w:val="24"/>
        </w:rPr>
        <mc:AlternateContent>
          <mc:Choice Requires="wps">
            <w:drawing>
              <wp:anchor distT="0" distB="0" distL="114300" distR="114300" simplePos="0" relativeHeight="251660288" behindDoc="0" locked="0" layoutInCell="1" allowOverlap="1" wp14:anchorId="7B2045E2" wp14:editId="470B47BE">
                <wp:simplePos x="0" y="0"/>
                <wp:positionH relativeFrom="margin">
                  <wp:align>right</wp:align>
                </wp:positionH>
                <wp:positionV relativeFrom="paragraph">
                  <wp:posOffset>36979</wp:posOffset>
                </wp:positionV>
                <wp:extent cx="5895479" cy="26278"/>
                <wp:effectExtent l="19050" t="19050" r="29210" b="31115"/>
                <wp:wrapNone/>
                <wp:docPr id="10885282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5479" cy="26278"/>
                        </a:xfrm>
                        <a:prstGeom prst="line">
                          <a:avLst/>
                        </a:prstGeom>
                        <a:ln w="28575"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62B13" id="Straight Connector 1" o:spid="_x0000_s1026" alt="&quot;&quot;"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pt,2.9pt" to="87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" strokecolor="black [3213]" strokeweight="2.25pt">
                <v:stroke joinstyle="miter"/>
                <w10:wrap anchorx="margin"/>
              </v:line>
            </w:pict>
          </mc:Fallback>
        </mc:AlternateContent>
      </w:r>
    </w:p>
    <w:p w14:paraId="143F5E5A" w14:textId="1DAEC31C" w:rsidR="00BE3F0B" w:rsidRPr="00BE3F0B" w:rsidRDefault="00BE3F0B" w:rsidP="00BE3F0B">
      <w:pPr>
        <w:pStyle w:val="Heading1"/>
        <w:rPr>
          <w:rFonts w:asciiTheme="minorHAnsi" w:hAnsiTheme="minorHAnsi" w:cstheme="minorBidi"/>
        </w:rPr>
      </w:pPr>
      <w:bookmarkStart w:id="0" w:name="_Toc232417807"/>
      <w:bookmarkStart w:id="1" w:name="_Toc143592397"/>
      <w:bookmarkStart w:id="2" w:name="_Toc143671693"/>
      <w:bookmarkStart w:id="3" w:name="_Toc143675159"/>
      <w:bookmarkStart w:id="4" w:name="_Toc143676412"/>
      <w:bookmarkStart w:id="5" w:name="_Toc143933044"/>
      <w:bookmarkStart w:id="6" w:name="_Toc153181511"/>
      <w:bookmarkStart w:id="7" w:name="_Toc157941512"/>
      <w:bookmarkStart w:id="8" w:name="_Toc158799500"/>
      <w:bookmarkStart w:id="9" w:name="_Toc232417808"/>
      <w:r w:rsidRPr="00A46C3C">
        <w:rPr>
          <w:rFonts w:asciiTheme="minorHAnsi" w:hAnsiTheme="minorHAnsi" w:cstheme="minorBidi"/>
        </w:rPr>
        <w:t>Evaluation criteria</w:t>
      </w:r>
      <w:bookmarkEnd w:id="0"/>
      <w:r w:rsidRPr="00A46C3C">
        <w:rPr>
          <w:rFonts w:asciiTheme="minorHAnsi" w:hAnsiTheme="minorHAnsi" w:cstheme="minorBidi"/>
        </w:rPr>
        <w:t xml:space="preserve">  </w:t>
      </w:r>
    </w:p>
    <w:p w14:paraId="051C3490" w14:textId="56158FED" w:rsidR="00D33736" w:rsidRPr="00A46C3C" w:rsidRDefault="00D33736" w:rsidP="00D33736">
      <w:pPr>
        <w:pStyle w:val="Heading2"/>
        <w:jc w:val="left"/>
        <w:rPr>
          <w:rFonts w:asciiTheme="minorHAnsi" w:hAnsiTheme="minorHAnsi" w:cstheme="minorHAnsi"/>
          <w:sz w:val="24"/>
          <w:szCs w:val="24"/>
        </w:rPr>
      </w:pPr>
      <w:r w:rsidRPr="00A46C3C">
        <w:rPr>
          <w:rFonts w:asciiTheme="minorHAnsi" w:hAnsiTheme="minorHAnsi" w:cstheme="minorHAnsi"/>
          <w:sz w:val="24"/>
          <w:szCs w:val="24"/>
        </w:rPr>
        <w:t xml:space="preserve">Mandatory </w:t>
      </w:r>
      <w:bookmarkEnd w:id="1"/>
      <w:bookmarkEnd w:id="2"/>
      <w:bookmarkEnd w:id="3"/>
      <w:bookmarkEnd w:id="4"/>
      <w:bookmarkEnd w:id="5"/>
      <w:bookmarkEnd w:id="6"/>
      <w:bookmarkEnd w:id="7"/>
      <w:bookmarkEnd w:id="8"/>
      <w:r w:rsidRPr="00A46C3C">
        <w:rPr>
          <w:rFonts w:asciiTheme="minorHAnsi" w:hAnsiTheme="minorHAnsi" w:cstheme="minorHAnsi"/>
          <w:sz w:val="24"/>
          <w:szCs w:val="24"/>
        </w:rPr>
        <w:t>requirements</w:t>
      </w:r>
      <w:bookmarkEnd w:id="9"/>
      <w:r w:rsidRPr="00A46C3C">
        <w:rPr>
          <w:rFonts w:asciiTheme="minorHAnsi" w:hAnsiTheme="minorHAnsi" w:cstheme="minorHAnsi"/>
          <w:sz w:val="24"/>
          <w:szCs w:val="24"/>
        </w:rPr>
        <w:t xml:space="preserve"> </w:t>
      </w:r>
    </w:p>
    <w:p w14:paraId="26193D79" w14:textId="77777777" w:rsidR="00D33736" w:rsidRPr="00A46C3C" w:rsidRDefault="00D33736" w:rsidP="00D33736">
      <w:pPr>
        <w:pStyle w:val="Head2Text"/>
        <w:jc w:val="left"/>
        <w:rPr>
          <w:rFonts w:asciiTheme="minorHAnsi" w:hAnsiTheme="minorHAnsi" w:cstheme="minorBidi"/>
          <w:sz w:val="24"/>
          <w:szCs w:val="24"/>
        </w:rPr>
      </w:pPr>
      <w:bookmarkStart w:id="10" w:name="_Hlk214870601"/>
      <w:r w:rsidRPr="00A46C3C">
        <w:rPr>
          <w:rFonts w:asciiTheme="minorHAnsi" w:hAnsiTheme="minorHAnsi" w:cstheme="minorBidi"/>
          <w:sz w:val="24"/>
          <w:szCs w:val="24"/>
        </w:rPr>
        <w:t>Contractors must submit responses that meet all the submission requirements of the RFR. All Potential Bidders must be registered with the Massachusetts Department of Revenue (DOR) and meet all the requirements set by the DOR to conduct business in the Commonwealth of Massachusetts, including but not limited to registration with the Massachusetts Secretary of State’s Corporations department. Only responsive proposals that meet the submission requirements will be evaluated, scored, and ranked by the evaluation team according to the evaluation criteria. Only responsive proposals submitted via COMMBUYS will be considered. Additional information may be requested via email for evaluation purposes.</w:t>
      </w:r>
      <w:bookmarkEnd w:id="10"/>
    </w:p>
    <w:p w14:paraId="31581789" w14:textId="77777777" w:rsidR="00D33736" w:rsidRPr="00A46C3C" w:rsidRDefault="00D33736" w:rsidP="00D33736">
      <w:pPr>
        <w:pStyle w:val="Head2Text"/>
        <w:jc w:val="left"/>
        <w:rPr>
          <w:rFonts w:asciiTheme="minorHAnsi" w:hAnsiTheme="minorHAnsi" w:cstheme="minorBidi"/>
          <w:sz w:val="24"/>
          <w:szCs w:val="24"/>
        </w:rPr>
      </w:pPr>
      <w:r w:rsidRPr="00A46C3C">
        <w:rPr>
          <w:rFonts w:asciiTheme="minorHAnsi" w:hAnsiTheme="minorHAnsi" w:cstheme="minorBidi"/>
          <w:sz w:val="24"/>
          <w:szCs w:val="24"/>
        </w:rPr>
        <w:t>Mandatory Specifications must be met for a Bid to be evaluated and may be used to disqualify Bidders. In addition, certain mandatory specifications have desirable components that may be evaluated by the SSST.  The SSST reserves the right, in its discretion, to determine if non-compliance with a Mandatory Specification is insignificant or may be easily corrected.</w:t>
      </w:r>
    </w:p>
    <w:p w14:paraId="1B8BAEAD" w14:textId="77777777" w:rsidR="00D33736" w:rsidRPr="00A46C3C" w:rsidRDefault="00D33736" w:rsidP="00D33736">
      <w:pPr>
        <w:pStyle w:val="Head2Text"/>
        <w:jc w:val="left"/>
        <w:rPr>
          <w:rFonts w:asciiTheme="minorHAnsi" w:hAnsiTheme="minorHAnsi" w:cstheme="minorBidi"/>
          <w:sz w:val="24"/>
          <w:szCs w:val="24"/>
        </w:rPr>
      </w:pPr>
      <w:r w:rsidRPr="00A46C3C">
        <w:rPr>
          <w:rFonts w:asciiTheme="minorHAnsi" w:hAnsiTheme="minorHAnsi" w:cstheme="minorBidi"/>
          <w:sz w:val="24"/>
          <w:szCs w:val="24"/>
        </w:rPr>
        <w:t xml:space="preserve">Bid sections that include terms such as: “must,” “shall,” “will,” and “required” are </w:t>
      </w:r>
      <w:r w:rsidRPr="00A46C3C">
        <w:rPr>
          <w:rFonts w:asciiTheme="minorHAnsi" w:hAnsiTheme="minorHAnsi" w:cstheme="minorBidi"/>
          <w:b/>
          <w:bCs/>
          <w:sz w:val="24"/>
          <w:szCs w:val="24"/>
        </w:rPr>
        <w:t>mandatory</w:t>
      </w:r>
      <w:r w:rsidRPr="00A46C3C">
        <w:rPr>
          <w:rFonts w:asciiTheme="minorHAnsi" w:hAnsiTheme="minorHAnsi" w:cstheme="minorBidi"/>
          <w:sz w:val="24"/>
          <w:szCs w:val="24"/>
        </w:rPr>
        <w:t>. Failure to meet the requirements of a mandatory specification without providing an alternate that is acceptable to the evaluators may result in the disqualification of a Bidder's proposal.</w:t>
      </w:r>
    </w:p>
    <w:p w14:paraId="58B8D666" w14:textId="77777777" w:rsidR="00D33736" w:rsidRPr="00A46C3C" w:rsidRDefault="00D33736" w:rsidP="00D33736">
      <w:pPr>
        <w:pStyle w:val="Heading2"/>
        <w:jc w:val="left"/>
        <w:rPr>
          <w:rFonts w:asciiTheme="minorHAnsi" w:hAnsiTheme="minorHAnsi" w:cstheme="minorBidi"/>
          <w:sz w:val="24"/>
          <w:szCs w:val="24"/>
        </w:rPr>
      </w:pPr>
      <w:bookmarkStart w:id="11" w:name="_Toc143592398"/>
      <w:bookmarkStart w:id="12" w:name="_Toc143671694"/>
      <w:bookmarkStart w:id="13" w:name="_Toc143675160"/>
      <w:bookmarkStart w:id="14" w:name="_Toc143676413"/>
      <w:bookmarkStart w:id="15" w:name="_Toc143933045"/>
      <w:bookmarkStart w:id="16" w:name="_Toc153181512"/>
      <w:bookmarkStart w:id="17" w:name="_Toc157941513"/>
      <w:bookmarkStart w:id="18" w:name="_Toc158799501"/>
      <w:bookmarkStart w:id="19" w:name="_Toc232417809"/>
      <w:r w:rsidRPr="00A46C3C">
        <w:rPr>
          <w:rFonts w:asciiTheme="minorHAnsi" w:hAnsiTheme="minorHAnsi" w:cstheme="minorBidi"/>
          <w:sz w:val="24"/>
          <w:szCs w:val="24"/>
        </w:rPr>
        <w:t>Desirable specifications</w:t>
      </w:r>
      <w:bookmarkEnd w:id="11"/>
      <w:bookmarkEnd w:id="12"/>
      <w:bookmarkEnd w:id="13"/>
      <w:bookmarkEnd w:id="14"/>
      <w:bookmarkEnd w:id="15"/>
      <w:bookmarkEnd w:id="16"/>
      <w:bookmarkEnd w:id="17"/>
      <w:bookmarkEnd w:id="18"/>
      <w:bookmarkEnd w:id="19"/>
      <w:r w:rsidRPr="00A46C3C">
        <w:rPr>
          <w:rFonts w:asciiTheme="minorHAnsi" w:hAnsiTheme="minorHAnsi" w:cstheme="minorBidi"/>
          <w:sz w:val="24"/>
          <w:szCs w:val="24"/>
        </w:rPr>
        <w:t xml:space="preserve"> </w:t>
      </w:r>
    </w:p>
    <w:p w14:paraId="4605DFB2" w14:textId="77777777" w:rsidR="00D33736" w:rsidRPr="00A46C3C" w:rsidRDefault="00D33736" w:rsidP="00D33736">
      <w:pPr>
        <w:pStyle w:val="Head2Text"/>
        <w:jc w:val="left"/>
        <w:rPr>
          <w:rFonts w:asciiTheme="minorHAnsi" w:hAnsiTheme="minorHAnsi" w:cstheme="minorBidi"/>
          <w:sz w:val="24"/>
          <w:szCs w:val="24"/>
        </w:rPr>
      </w:pPr>
      <w:r w:rsidRPr="00A46C3C">
        <w:rPr>
          <w:rFonts w:asciiTheme="minorHAnsi" w:hAnsiTheme="minorHAnsi" w:cstheme="minorBidi"/>
          <w:sz w:val="24"/>
          <w:szCs w:val="24"/>
        </w:rPr>
        <w:t>Desirable specifications may be scored according to the Evaluation Criteria.</w:t>
      </w:r>
    </w:p>
    <w:p w14:paraId="6A6384EE" w14:textId="77777777" w:rsidR="00D33736" w:rsidRPr="00A46C3C" w:rsidRDefault="00D33736" w:rsidP="00D33736">
      <w:pPr>
        <w:pStyle w:val="Head2Text"/>
        <w:jc w:val="left"/>
        <w:rPr>
          <w:rFonts w:asciiTheme="minorHAnsi" w:hAnsiTheme="minorHAnsi" w:cstheme="minorBidi"/>
          <w:sz w:val="24"/>
          <w:szCs w:val="24"/>
        </w:rPr>
      </w:pPr>
      <w:r w:rsidRPr="00A46C3C">
        <w:rPr>
          <w:rFonts w:asciiTheme="minorHAnsi" w:hAnsiTheme="minorHAnsi" w:cstheme="minorBidi"/>
          <w:sz w:val="24"/>
          <w:szCs w:val="24"/>
        </w:rPr>
        <w:t>RFR specifications prefaced with language such as: “desirable,” “could,</w:t>
      </w:r>
      <w:proofErr w:type="gramStart"/>
      <w:r w:rsidRPr="00A46C3C">
        <w:rPr>
          <w:rFonts w:asciiTheme="minorHAnsi" w:hAnsiTheme="minorHAnsi" w:cstheme="minorBidi"/>
          <w:sz w:val="24"/>
          <w:szCs w:val="24"/>
        </w:rPr>
        <w:t>” ”may</w:t>
      </w:r>
      <w:proofErr w:type="gramEnd"/>
      <w:r w:rsidRPr="00A46C3C">
        <w:rPr>
          <w:rFonts w:asciiTheme="minorHAnsi" w:hAnsiTheme="minorHAnsi" w:cstheme="minorBidi"/>
          <w:sz w:val="24"/>
          <w:szCs w:val="24"/>
        </w:rPr>
        <w:t>,</w:t>
      </w:r>
      <w:proofErr w:type="gramStart"/>
      <w:r w:rsidRPr="00A46C3C">
        <w:rPr>
          <w:rFonts w:asciiTheme="minorHAnsi" w:hAnsiTheme="minorHAnsi" w:cstheme="minorBidi"/>
          <w:sz w:val="24"/>
          <w:szCs w:val="24"/>
        </w:rPr>
        <w:t>” ”should</w:t>
      </w:r>
      <w:proofErr w:type="gramEnd"/>
      <w:r w:rsidRPr="00A46C3C">
        <w:rPr>
          <w:rFonts w:asciiTheme="minorHAnsi" w:hAnsiTheme="minorHAnsi" w:cstheme="minorBidi"/>
          <w:sz w:val="24"/>
          <w:szCs w:val="24"/>
        </w:rPr>
        <w:t xml:space="preserve">,” “preferably,” “prefers,” “suggested,” </w:t>
      </w:r>
      <w:proofErr w:type="gramStart"/>
      <w:r w:rsidRPr="00A46C3C">
        <w:rPr>
          <w:rFonts w:asciiTheme="minorHAnsi" w:hAnsiTheme="minorHAnsi" w:cstheme="minorBidi"/>
          <w:sz w:val="24"/>
          <w:szCs w:val="24"/>
        </w:rPr>
        <w:t>and ”requested</w:t>
      </w:r>
      <w:proofErr w:type="gramEnd"/>
      <w:r w:rsidRPr="00A46C3C">
        <w:rPr>
          <w:rFonts w:asciiTheme="minorHAnsi" w:hAnsiTheme="minorHAnsi" w:cstheme="minorBidi"/>
          <w:sz w:val="24"/>
          <w:szCs w:val="24"/>
        </w:rPr>
        <w:t>” identify a desirable or discretionary item or factor that is considered by the Purchaser to be “desirable.” The Purchaser has listed all desirable specifications which will receive points in the evaluation criteria.</w:t>
      </w:r>
    </w:p>
    <w:p w14:paraId="06EF936E" w14:textId="77777777" w:rsidR="00D33736" w:rsidRPr="00A46C3C" w:rsidRDefault="00D33736" w:rsidP="00D33736">
      <w:pPr>
        <w:pStyle w:val="Heading2"/>
        <w:jc w:val="left"/>
        <w:rPr>
          <w:rFonts w:asciiTheme="minorHAnsi" w:hAnsiTheme="minorHAnsi" w:cstheme="minorHAnsi"/>
          <w:sz w:val="24"/>
          <w:szCs w:val="24"/>
        </w:rPr>
      </w:pPr>
      <w:bookmarkStart w:id="20" w:name="_Toc153181496"/>
      <w:bookmarkStart w:id="21" w:name="_Toc157941497"/>
      <w:bookmarkStart w:id="22" w:name="_Toc158799485"/>
      <w:bookmarkStart w:id="23" w:name="_Toc232417810"/>
      <w:r w:rsidRPr="00A46C3C">
        <w:rPr>
          <w:rFonts w:asciiTheme="minorHAnsi" w:hAnsiTheme="minorHAnsi" w:cstheme="minorHAnsi"/>
          <w:sz w:val="24"/>
          <w:szCs w:val="24"/>
        </w:rPr>
        <w:t xml:space="preserve">Evaluation </w:t>
      </w:r>
      <w:bookmarkEnd w:id="20"/>
      <w:bookmarkEnd w:id="21"/>
      <w:bookmarkEnd w:id="22"/>
      <w:r w:rsidRPr="00A46C3C">
        <w:rPr>
          <w:rFonts w:asciiTheme="minorHAnsi" w:hAnsiTheme="minorHAnsi" w:cstheme="minorHAnsi"/>
          <w:sz w:val="24"/>
          <w:szCs w:val="24"/>
        </w:rPr>
        <w:t>Components</w:t>
      </w:r>
      <w:bookmarkEnd w:id="23"/>
      <w:r w:rsidRPr="00A46C3C">
        <w:rPr>
          <w:rFonts w:asciiTheme="minorHAnsi" w:hAnsiTheme="minorHAnsi" w:cstheme="minorHAnsi"/>
          <w:sz w:val="24"/>
          <w:szCs w:val="24"/>
        </w:rPr>
        <w:t xml:space="preserve"> </w:t>
      </w:r>
    </w:p>
    <w:p w14:paraId="2FF784D4" w14:textId="77777777" w:rsidR="00D33736" w:rsidRPr="00A46C3C" w:rsidRDefault="00D33736" w:rsidP="00D33736">
      <w:pPr>
        <w:pStyle w:val="Head2Text"/>
        <w:jc w:val="left"/>
        <w:rPr>
          <w:rFonts w:asciiTheme="minorHAnsi" w:hAnsiTheme="minorHAnsi" w:cstheme="minorHAnsi"/>
          <w:sz w:val="24"/>
          <w:szCs w:val="24"/>
        </w:rPr>
      </w:pPr>
      <w:r w:rsidRPr="00A46C3C">
        <w:rPr>
          <w:rFonts w:asciiTheme="minorHAnsi" w:hAnsiTheme="minorHAnsi" w:cstheme="minorHAnsi"/>
          <w:sz w:val="24"/>
          <w:szCs w:val="24"/>
        </w:rPr>
        <w:t xml:space="preserve">The following components will be some of the criteria considered by the SSST when evaluating each Quote: </w:t>
      </w:r>
    </w:p>
    <w:p w14:paraId="45AF96C0" w14:textId="77777777" w:rsidR="00D33736" w:rsidRPr="00A46C3C" w:rsidRDefault="00D33736" w:rsidP="00D33736">
      <w:pPr>
        <w:pStyle w:val="Heading3"/>
        <w:rPr>
          <w:sz w:val="24"/>
          <w:szCs w:val="24"/>
        </w:rPr>
      </w:pPr>
      <w:bookmarkStart w:id="24" w:name="_Toc383552489"/>
      <w:bookmarkStart w:id="25" w:name="_Toc383554230"/>
      <w:bookmarkStart w:id="26" w:name="_Toc383555125"/>
      <w:bookmarkStart w:id="27" w:name="_Toc232417811"/>
      <w:bookmarkStart w:id="28" w:name="_Toc153181497"/>
      <w:bookmarkStart w:id="29" w:name="_Toc157941498"/>
      <w:bookmarkStart w:id="30" w:name="_Toc158799486"/>
      <w:bookmarkEnd w:id="24"/>
      <w:bookmarkEnd w:id="25"/>
      <w:bookmarkEnd w:id="26"/>
      <w:r w:rsidRPr="00A46C3C">
        <w:rPr>
          <w:sz w:val="24"/>
          <w:szCs w:val="24"/>
        </w:rPr>
        <w:t>Price</w:t>
      </w:r>
      <w:bookmarkEnd w:id="27"/>
      <w:r w:rsidRPr="00A46C3C">
        <w:rPr>
          <w:sz w:val="24"/>
          <w:szCs w:val="24"/>
        </w:rPr>
        <w:t xml:space="preserve"> </w:t>
      </w:r>
      <w:bookmarkEnd w:id="28"/>
      <w:bookmarkEnd w:id="29"/>
      <w:bookmarkEnd w:id="30"/>
    </w:p>
    <w:p w14:paraId="7C372681" w14:textId="77777777" w:rsidR="00D33736" w:rsidRPr="00A46C3C" w:rsidRDefault="00D33736" w:rsidP="00D33736">
      <w:pPr>
        <w:pStyle w:val="Head3Text"/>
        <w:keepNext/>
        <w:jc w:val="left"/>
        <w:rPr>
          <w:rFonts w:asciiTheme="minorHAnsi" w:hAnsiTheme="minorHAnsi" w:cstheme="minorBidi"/>
          <w:sz w:val="24"/>
          <w:szCs w:val="24"/>
        </w:rPr>
      </w:pPr>
      <w:r w:rsidRPr="00A46C3C">
        <w:rPr>
          <w:rFonts w:asciiTheme="minorHAnsi" w:hAnsiTheme="minorHAnsi" w:cstheme="minorBidi"/>
          <w:sz w:val="24"/>
          <w:szCs w:val="24"/>
        </w:rPr>
        <w:lastRenderedPageBreak/>
        <w:t xml:space="preserve">Please note that price will carry </w:t>
      </w:r>
      <w:r>
        <w:rPr>
          <w:rFonts w:asciiTheme="minorHAnsi" w:hAnsiTheme="minorHAnsi" w:cstheme="minorBidi"/>
          <w:sz w:val="24"/>
          <w:szCs w:val="24"/>
        </w:rPr>
        <w:t>15%</w:t>
      </w:r>
      <w:r w:rsidRPr="00A46C3C">
        <w:rPr>
          <w:rFonts w:asciiTheme="minorHAnsi" w:hAnsiTheme="minorHAnsi" w:cstheme="minorBidi"/>
          <w:sz w:val="24"/>
          <w:szCs w:val="24"/>
        </w:rPr>
        <w:t xml:space="preserve"> weight in the evaluation process. </w:t>
      </w:r>
    </w:p>
    <w:p w14:paraId="6ACD0C23" w14:textId="77777777" w:rsidR="00D33736" w:rsidRPr="00A46C3C" w:rsidRDefault="00D33736" w:rsidP="00D33736">
      <w:pPr>
        <w:pStyle w:val="Head3Text"/>
        <w:keepNext/>
        <w:jc w:val="left"/>
        <w:rPr>
          <w:rFonts w:asciiTheme="minorHAnsi" w:hAnsiTheme="minorHAnsi" w:cstheme="minorBidi"/>
          <w:sz w:val="24"/>
          <w:szCs w:val="24"/>
        </w:rPr>
      </w:pPr>
      <w:r w:rsidRPr="00A46C3C">
        <w:rPr>
          <w:rFonts w:asciiTheme="minorHAnsi" w:hAnsiTheme="minorHAnsi" w:cstheme="minorBidi"/>
          <w:sz w:val="24"/>
          <w:szCs w:val="24"/>
        </w:rPr>
        <w:t>The following price components will be evaluated:</w:t>
      </w:r>
    </w:p>
    <w:p w14:paraId="57577C7F" w14:textId="77777777" w:rsidR="00D33736" w:rsidRPr="00A46C3C" w:rsidRDefault="00D33736" w:rsidP="00D33736">
      <w:pPr>
        <w:pStyle w:val="Head3Text"/>
        <w:keepNext/>
        <w:numPr>
          <w:ilvl w:val="0"/>
          <w:numId w:val="8"/>
        </w:numPr>
        <w:spacing w:line="259" w:lineRule="auto"/>
        <w:jc w:val="left"/>
        <w:rPr>
          <w:rFonts w:asciiTheme="minorHAnsi" w:hAnsiTheme="minorHAnsi" w:cstheme="minorBidi"/>
          <w:sz w:val="24"/>
          <w:szCs w:val="24"/>
        </w:rPr>
      </w:pPr>
      <w:r w:rsidRPr="00A46C3C">
        <w:rPr>
          <w:rFonts w:asciiTheme="minorHAnsi" w:hAnsiTheme="minorHAnsi" w:cstheme="minorBidi"/>
          <w:sz w:val="24"/>
          <w:szCs w:val="24"/>
        </w:rPr>
        <w:t>Estimated total annual cost from Staffing Cost Table</w:t>
      </w:r>
    </w:p>
    <w:p w14:paraId="524FEFA0" w14:textId="77777777" w:rsidR="00D33736" w:rsidRPr="00A46C3C" w:rsidRDefault="00D33736" w:rsidP="00D33736">
      <w:pPr>
        <w:pStyle w:val="Head3Text"/>
        <w:keepNext/>
        <w:numPr>
          <w:ilvl w:val="0"/>
          <w:numId w:val="8"/>
        </w:numPr>
        <w:jc w:val="left"/>
        <w:rPr>
          <w:rFonts w:asciiTheme="minorHAnsi" w:hAnsiTheme="minorHAnsi" w:cstheme="minorBidi"/>
          <w:sz w:val="24"/>
          <w:szCs w:val="24"/>
        </w:rPr>
      </w:pPr>
      <w:r w:rsidRPr="00A46C3C">
        <w:rPr>
          <w:rFonts w:asciiTheme="minorHAnsi" w:hAnsiTheme="minorHAnsi" w:cstheme="minorBidi"/>
          <w:sz w:val="24"/>
          <w:szCs w:val="24"/>
        </w:rPr>
        <w:t>Annual total overhead cost from Overhead Cost Table</w:t>
      </w:r>
    </w:p>
    <w:p w14:paraId="5FA89EA5" w14:textId="77777777" w:rsidR="00D33736" w:rsidRPr="00A46C3C" w:rsidRDefault="00D33736" w:rsidP="00D33736">
      <w:pPr>
        <w:pStyle w:val="Heading3"/>
        <w:rPr>
          <w:sz w:val="24"/>
          <w:szCs w:val="24"/>
        </w:rPr>
      </w:pPr>
      <w:bookmarkStart w:id="31" w:name="_Toc232417812"/>
      <w:bookmarkStart w:id="32" w:name="_Toc153181498"/>
      <w:bookmarkStart w:id="33" w:name="_Toc157941499"/>
      <w:bookmarkStart w:id="34" w:name="_Toc158799487"/>
      <w:r w:rsidRPr="00A46C3C">
        <w:rPr>
          <w:sz w:val="24"/>
          <w:szCs w:val="24"/>
        </w:rPr>
        <w:t>Supplier Diversity Plan</w:t>
      </w:r>
      <w:bookmarkEnd w:id="31"/>
      <w:r w:rsidRPr="00A46C3C">
        <w:rPr>
          <w:sz w:val="24"/>
          <w:szCs w:val="24"/>
        </w:rPr>
        <w:t xml:space="preserve"> </w:t>
      </w:r>
      <w:r w:rsidRPr="00A46C3C" w:rsidDel="00501467">
        <w:rPr>
          <w:sz w:val="24"/>
          <w:szCs w:val="24"/>
        </w:rPr>
        <w:t xml:space="preserve"> </w:t>
      </w:r>
      <w:bookmarkEnd w:id="32"/>
      <w:bookmarkEnd w:id="33"/>
      <w:bookmarkEnd w:id="34"/>
    </w:p>
    <w:p w14:paraId="62DB11C1" w14:textId="77777777" w:rsidR="00D33736" w:rsidRPr="00A46C3C" w:rsidRDefault="00D33736" w:rsidP="00D33736">
      <w:pPr>
        <w:pStyle w:val="Head3Text"/>
        <w:keepNext/>
        <w:jc w:val="left"/>
        <w:rPr>
          <w:rFonts w:asciiTheme="minorHAnsi" w:hAnsiTheme="minorHAnsi" w:cstheme="minorHAnsi"/>
          <w:sz w:val="24"/>
          <w:szCs w:val="24"/>
        </w:rPr>
      </w:pPr>
      <w:r w:rsidRPr="00A46C3C">
        <w:rPr>
          <w:rFonts w:asciiTheme="minorHAnsi" w:hAnsiTheme="minorHAnsi" w:cstheme="minorBidi"/>
          <w:sz w:val="24"/>
          <w:szCs w:val="24"/>
        </w:rPr>
        <w:t xml:space="preserve">Bidders responding to this RFR are required to submit a Supplier Diversity Plan. Requirements for the Supplier Diversity Plan are included in Section 3. </w:t>
      </w:r>
      <w:bookmarkStart w:id="35" w:name="_Hlk78460847"/>
      <w:r w:rsidRPr="00A46C3C">
        <w:rPr>
          <w:rFonts w:asciiTheme="minorHAnsi" w:hAnsiTheme="minorHAnsi" w:cstheme="minorBidi"/>
          <w:sz w:val="24"/>
          <w:szCs w:val="24"/>
        </w:rPr>
        <w:t>25% of the total available evaluation points for this bid solicitation shall be allocated to the evaluation of the SDP Plan submissions</w:t>
      </w:r>
      <w:bookmarkEnd w:id="35"/>
      <w:r w:rsidRPr="00A46C3C">
        <w:rPr>
          <w:rFonts w:asciiTheme="minorHAnsi" w:hAnsiTheme="minorHAnsi" w:cstheme="minorBidi"/>
          <w:sz w:val="24"/>
          <w:szCs w:val="24"/>
        </w:rPr>
        <w:t>.</w:t>
      </w:r>
      <w:r w:rsidRPr="00A46C3C">
        <w:rPr>
          <w:rFonts w:asciiTheme="minorHAnsi" w:hAnsiTheme="minorHAnsi" w:cstheme="minorHAnsi"/>
          <w:sz w:val="24"/>
          <w:szCs w:val="24"/>
        </w:rPr>
        <w:t xml:space="preserve"> </w:t>
      </w:r>
    </w:p>
    <w:p w14:paraId="094515F3" w14:textId="77777777" w:rsidR="00D33736" w:rsidRPr="00A46C3C" w:rsidRDefault="00D33736" w:rsidP="00D33736">
      <w:pPr>
        <w:pStyle w:val="Heading3"/>
        <w:rPr>
          <w:sz w:val="24"/>
          <w:szCs w:val="24"/>
        </w:rPr>
      </w:pPr>
      <w:bookmarkStart w:id="36" w:name="_Toc153181500"/>
      <w:bookmarkStart w:id="37" w:name="_Toc157941501"/>
      <w:bookmarkStart w:id="38" w:name="_Toc158799489"/>
      <w:bookmarkStart w:id="39" w:name="_Toc232417813"/>
      <w:r w:rsidRPr="00A46C3C">
        <w:rPr>
          <w:sz w:val="24"/>
          <w:szCs w:val="24"/>
        </w:rPr>
        <w:t>Company experience</w:t>
      </w:r>
      <w:bookmarkEnd w:id="36"/>
      <w:bookmarkEnd w:id="37"/>
      <w:bookmarkEnd w:id="38"/>
      <w:bookmarkEnd w:id="39"/>
      <w:r w:rsidRPr="00A46C3C">
        <w:rPr>
          <w:sz w:val="24"/>
          <w:szCs w:val="24"/>
        </w:rPr>
        <w:t xml:space="preserve"> </w:t>
      </w:r>
    </w:p>
    <w:p w14:paraId="3A67AFEB" w14:textId="77777777" w:rsidR="00D33736" w:rsidRPr="00A46C3C" w:rsidRDefault="00D33736" w:rsidP="00D33736"/>
    <w:p w14:paraId="36D49D64" w14:textId="77777777" w:rsidR="00D33736" w:rsidRPr="002C0202" w:rsidRDefault="00D33736" w:rsidP="00D33736">
      <w:pPr>
        <w:ind w:left="900"/>
        <w:rPr>
          <w:rFonts w:asciiTheme="minorHAnsi" w:hAnsiTheme="minorHAnsi" w:cstheme="minorHAnsi"/>
          <w:sz w:val="24"/>
          <w:szCs w:val="24"/>
        </w:rPr>
      </w:pPr>
      <w:r w:rsidRPr="002C0202">
        <w:rPr>
          <w:rFonts w:asciiTheme="minorHAnsi" w:hAnsiTheme="minorHAnsi" w:cstheme="minorHAnsi"/>
          <w:sz w:val="24"/>
          <w:szCs w:val="24"/>
        </w:rPr>
        <w:t>Company experience will be 25% of the total available evaluation points.</w:t>
      </w:r>
    </w:p>
    <w:p w14:paraId="15A6E910" w14:textId="77777777" w:rsidR="00D33736" w:rsidRPr="002C0202" w:rsidRDefault="00D33736" w:rsidP="00D33736">
      <w:pPr>
        <w:ind w:left="900"/>
        <w:rPr>
          <w:rFonts w:asciiTheme="minorHAnsi" w:hAnsiTheme="minorHAnsi" w:cstheme="minorHAnsi"/>
          <w:sz w:val="24"/>
          <w:szCs w:val="24"/>
        </w:rPr>
      </w:pPr>
    </w:p>
    <w:p w14:paraId="3F47B539" w14:textId="77777777" w:rsidR="00D33736" w:rsidRPr="002C0202" w:rsidRDefault="00D33736" w:rsidP="00D33736">
      <w:pPr>
        <w:ind w:left="900"/>
        <w:rPr>
          <w:rFonts w:asciiTheme="minorHAnsi" w:hAnsiTheme="minorHAnsi" w:cstheme="minorHAnsi"/>
          <w:sz w:val="24"/>
          <w:szCs w:val="24"/>
        </w:rPr>
      </w:pPr>
      <w:r w:rsidRPr="002C0202">
        <w:rPr>
          <w:rFonts w:asciiTheme="minorHAnsi" w:hAnsiTheme="minorHAnsi" w:cstheme="minorHAnsi"/>
          <w:sz w:val="24"/>
          <w:szCs w:val="24"/>
        </w:rPr>
        <w:t xml:space="preserve">As specified in section 3, company experience will be evaluated based both on </w:t>
      </w:r>
      <w:proofErr w:type="gramStart"/>
      <w:r w:rsidRPr="002C0202">
        <w:rPr>
          <w:rFonts w:asciiTheme="minorHAnsi" w:hAnsiTheme="minorHAnsi" w:cstheme="minorHAnsi"/>
          <w:sz w:val="24"/>
          <w:szCs w:val="24"/>
        </w:rPr>
        <w:t>universally-applicable</w:t>
      </w:r>
      <w:proofErr w:type="gramEnd"/>
      <w:r w:rsidRPr="002C0202">
        <w:rPr>
          <w:rFonts w:asciiTheme="minorHAnsi" w:hAnsiTheme="minorHAnsi" w:cstheme="minorHAnsi"/>
          <w:sz w:val="24"/>
          <w:szCs w:val="24"/>
        </w:rPr>
        <w:t xml:space="preserve"> criteria and Program Area-specific criteria.</w:t>
      </w:r>
    </w:p>
    <w:p w14:paraId="3D001E34" w14:textId="77777777" w:rsidR="00D33736" w:rsidRPr="00A46C3C" w:rsidRDefault="00D33736" w:rsidP="00D33736">
      <w:pPr>
        <w:pStyle w:val="Heading3"/>
        <w:ind w:left="720" w:hanging="720"/>
        <w:rPr>
          <w:sz w:val="24"/>
          <w:szCs w:val="24"/>
        </w:rPr>
      </w:pPr>
      <w:bookmarkStart w:id="40" w:name="_Toc153181501"/>
      <w:bookmarkStart w:id="41" w:name="_Toc157941502"/>
      <w:bookmarkStart w:id="42" w:name="_Toc158799490"/>
      <w:bookmarkStart w:id="43" w:name="_Toc232417814"/>
      <w:r w:rsidRPr="00A46C3C">
        <w:rPr>
          <w:sz w:val="24"/>
          <w:szCs w:val="24"/>
        </w:rPr>
        <w:t>Financial stability including disclosure of all information pertaining to bankruptcy, litigation, and contract defaults</w:t>
      </w:r>
      <w:bookmarkEnd w:id="40"/>
      <w:bookmarkEnd w:id="41"/>
      <w:bookmarkEnd w:id="42"/>
      <w:bookmarkEnd w:id="43"/>
      <w:r w:rsidRPr="00A46C3C">
        <w:rPr>
          <w:sz w:val="24"/>
          <w:szCs w:val="24"/>
        </w:rPr>
        <w:t xml:space="preserve"> </w:t>
      </w:r>
    </w:p>
    <w:p w14:paraId="48938A34" w14:textId="77777777" w:rsidR="00D33736" w:rsidRPr="00A46C3C" w:rsidRDefault="00D33736" w:rsidP="00D33736"/>
    <w:p w14:paraId="5F29DA82" w14:textId="77777777" w:rsidR="00D33736" w:rsidRPr="002C0202" w:rsidRDefault="00D33736" w:rsidP="00D33736">
      <w:pPr>
        <w:tabs>
          <w:tab w:val="left" w:pos="990"/>
        </w:tabs>
        <w:ind w:left="900"/>
        <w:rPr>
          <w:rFonts w:asciiTheme="minorHAnsi" w:hAnsiTheme="minorHAnsi" w:cstheme="minorHAnsi"/>
          <w:sz w:val="24"/>
          <w:szCs w:val="24"/>
        </w:rPr>
      </w:pPr>
      <w:r w:rsidRPr="002C0202">
        <w:rPr>
          <w:rFonts w:asciiTheme="minorHAnsi" w:hAnsiTheme="minorHAnsi" w:cstheme="minorHAnsi"/>
          <w:sz w:val="24"/>
          <w:szCs w:val="24"/>
        </w:rPr>
        <w:t xml:space="preserve">Financial stability will be </w:t>
      </w:r>
      <w:r>
        <w:rPr>
          <w:rFonts w:asciiTheme="minorHAnsi" w:hAnsiTheme="minorHAnsi" w:cstheme="minorHAnsi"/>
          <w:sz w:val="24"/>
          <w:szCs w:val="24"/>
        </w:rPr>
        <w:t>10</w:t>
      </w:r>
      <w:r w:rsidRPr="002C0202">
        <w:rPr>
          <w:rFonts w:asciiTheme="minorHAnsi" w:hAnsiTheme="minorHAnsi" w:cstheme="minorHAnsi"/>
          <w:sz w:val="24"/>
          <w:szCs w:val="24"/>
        </w:rPr>
        <w:t xml:space="preserve">% of the total </w:t>
      </w:r>
      <w:proofErr w:type="gramStart"/>
      <w:r w:rsidRPr="002C0202">
        <w:rPr>
          <w:rFonts w:asciiTheme="minorHAnsi" w:hAnsiTheme="minorHAnsi" w:cstheme="minorHAnsi"/>
          <w:sz w:val="24"/>
          <w:szCs w:val="24"/>
        </w:rPr>
        <w:t>available evaluation points</w:t>
      </w:r>
      <w:proofErr w:type="gramEnd"/>
      <w:r w:rsidRPr="002C0202">
        <w:rPr>
          <w:rFonts w:asciiTheme="minorHAnsi" w:hAnsiTheme="minorHAnsi" w:cstheme="minorHAnsi"/>
          <w:sz w:val="24"/>
          <w:szCs w:val="24"/>
        </w:rPr>
        <w:t>.</w:t>
      </w:r>
    </w:p>
    <w:p w14:paraId="63B0A376" w14:textId="77777777" w:rsidR="00D33736" w:rsidRPr="002C0202" w:rsidRDefault="00D33736" w:rsidP="00D33736">
      <w:pPr>
        <w:tabs>
          <w:tab w:val="left" w:pos="990"/>
        </w:tabs>
        <w:ind w:left="900"/>
        <w:rPr>
          <w:rFonts w:asciiTheme="minorHAnsi" w:hAnsiTheme="minorHAnsi" w:cstheme="minorHAnsi"/>
          <w:sz w:val="24"/>
          <w:szCs w:val="24"/>
        </w:rPr>
      </w:pPr>
    </w:p>
    <w:p w14:paraId="0A7BD7D6" w14:textId="77777777" w:rsidR="00D33736" w:rsidRPr="00A46C3C" w:rsidRDefault="00D33736" w:rsidP="00D33736">
      <w:pPr>
        <w:tabs>
          <w:tab w:val="left" w:pos="990"/>
        </w:tabs>
        <w:ind w:left="900"/>
      </w:pPr>
      <w:r w:rsidRPr="002C0202">
        <w:rPr>
          <w:rFonts w:asciiTheme="minorHAnsi" w:hAnsiTheme="minorHAnsi" w:cstheme="minorHAnsi"/>
          <w:sz w:val="24"/>
          <w:szCs w:val="24"/>
        </w:rPr>
        <w:t>Bidders will be required to demonstrate financial stability and solvency</w:t>
      </w:r>
      <w:r w:rsidRPr="00A46C3C">
        <w:t xml:space="preserve">.  </w:t>
      </w:r>
    </w:p>
    <w:p w14:paraId="4C13EAC8" w14:textId="77777777" w:rsidR="00D33736" w:rsidRPr="00A46C3C" w:rsidRDefault="00D33736" w:rsidP="00D33736">
      <w:pPr>
        <w:pStyle w:val="Heading3"/>
        <w:rPr>
          <w:sz w:val="24"/>
          <w:szCs w:val="24"/>
        </w:rPr>
      </w:pPr>
      <w:bookmarkStart w:id="44" w:name="_Toc153181502"/>
      <w:bookmarkStart w:id="45" w:name="_Toc157941503"/>
      <w:bookmarkStart w:id="46" w:name="_Toc158799491"/>
      <w:bookmarkStart w:id="47" w:name="_Toc232417815"/>
      <w:r w:rsidRPr="00A46C3C">
        <w:rPr>
          <w:sz w:val="24"/>
          <w:szCs w:val="24"/>
        </w:rPr>
        <w:t>References and reference information and/or requirements</w:t>
      </w:r>
      <w:bookmarkEnd w:id="44"/>
      <w:bookmarkEnd w:id="45"/>
      <w:bookmarkEnd w:id="46"/>
      <w:bookmarkEnd w:id="47"/>
      <w:r w:rsidRPr="00A46C3C">
        <w:rPr>
          <w:sz w:val="24"/>
          <w:szCs w:val="24"/>
        </w:rPr>
        <w:t xml:space="preserve"> </w:t>
      </w:r>
    </w:p>
    <w:p w14:paraId="3322E3C8" w14:textId="77777777" w:rsidR="00D33736" w:rsidRPr="00A46C3C" w:rsidRDefault="00D33736" w:rsidP="00D33736"/>
    <w:p w14:paraId="5C89436D" w14:textId="77777777" w:rsidR="00D33736" w:rsidRDefault="00D33736" w:rsidP="00D33736">
      <w:pPr>
        <w:ind w:left="900"/>
      </w:pPr>
      <w:r w:rsidRPr="00A46C3C">
        <w:t xml:space="preserve">References </w:t>
      </w:r>
      <w:r w:rsidRPr="00E007B3">
        <w:t>will be 5% of the total available evaluation points</w:t>
      </w:r>
      <w:r>
        <w:t>.</w:t>
      </w:r>
    </w:p>
    <w:p w14:paraId="18EC8949" w14:textId="77777777" w:rsidR="00D33736" w:rsidRPr="00A46C3C" w:rsidRDefault="00D33736" w:rsidP="00D33736">
      <w:pPr>
        <w:ind w:left="900"/>
      </w:pPr>
    </w:p>
    <w:p w14:paraId="455B8372" w14:textId="77777777" w:rsidR="00D33736" w:rsidRPr="00A46C3C" w:rsidRDefault="00D33736" w:rsidP="00D33736">
      <w:pPr>
        <w:ind w:left="900"/>
      </w:pPr>
      <w:r w:rsidRPr="00A46C3C">
        <w:t xml:space="preserve">Bidders are required to complete the Business Reference form and provide a minimum of 3 business references.  </w:t>
      </w:r>
    </w:p>
    <w:p w14:paraId="62CE82A8" w14:textId="77777777" w:rsidR="00D33736" w:rsidRPr="00A46C3C" w:rsidRDefault="00D33736" w:rsidP="00D33736">
      <w:pPr>
        <w:pStyle w:val="Heading3"/>
        <w:rPr>
          <w:sz w:val="24"/>
          <w:szCs w:val="24"/>
        </w:rPr>
      </w:pPr>
      <w:bookmarkStart w:id="48" w:name="_Toc153181503"/>
      <w:bookmarkStart w:id="49" w:name="_Toc157941504"/>
      <w:bookmarkStart w:id="50" w:name="_Toc158799492"/>
      <w:bookmarkStart w:id="51" w:name="_Toc232417816"/>
      <w:r w:rsidRPr="00A46C3C">
        <w:rPr>
          <w:sz w:val="24"/>
          <w:szCs w:val="24"/>
        </w:rPr>
        <w:t>Employee qualifications and/or requirements</w:t>
      </w:r>
      <w:bookmarkEnd w:id="48"/>
      <w:bookmarkEnd w:id="49"/>
      <w:bookmarkEnd w:id="50"/>
      <w:bookmarkEnd w:id="51"/>
      <w:r w:rsidRPr="00A46C3C">
        <w:rPr>
          <w:sz w:val="24"/>
          <w:szCs w:val="24"/>
        </w:rPr>
        <w:t xml:space="preserve"> </w:t>
      </w:r>
    </w:p>
    <w:p w14:paraId="2777437F" w14:textId="77777777" w:rsidR="00D33736" w:rsidRPr="00A46C3C" w:rsidRDefault="00D33736" w:rsidP="00D33736"/>
    <w:p w14:paraId="25651829" w14:textId="77777777" w:rsidR="00D33736" w:rsidRPr="002C0202" w:rsidRDefault="00D33736" w:rsidP="00D33736">
      <w:pPr>
        <w:ind w:left="900"/>
        <w:rPr>
          <w:rFonts w:asciiTheme="minorHAnsi" w:hAnsiTheme="minorHAnsi" w:cstheme="minorHAnsi"/>
          <w:sz w:val="24"/>
          <w:szCs w:val="24"/>
        </w:rPr>
      </w:pPr>
      <w:r w:rsidRPr="00E007B3">
        <w:rPr>
          <w:rFonts w:asciiTheme="minorHAnsi" w:hAnsiTheme="minorHAnsi" w:cstheme="minorHAnsi"/>
          <w:sz w:val="24"/>
          <w:szCs w:val="24"/>
        </w:rPr>
        <w:t xml:space="preserve">Employee qualifications </w:t>
      </w:r>
      <w:r w:rsidRPr="002C0202">
        <w:rPr>
          <w:rFonts w:asciiTheme="minorHAnsi" w:hAnsiTheme="minorHAnsi" w:cstheme="minorHAnsi"/>
          <w:sz w:val="24"/>
          <w:szCs w:val="24"/>
        </w:rPr>
        <w:t xml:space="preserve">will be </w:t>
      </w:r>
      <w:r>
        <w:rPr>
          <w:rFonts w:asciiTheme="minorHAnsi" w:hAnsiTheme="minorHAnsi" w:cstheme="minorHAnsi"/>
          <w:sz w:val="24"/>
          <w:szCs w:val="24"/>
        </w:rPr>
        <w:t>8</w:t>
      </w:r>
      <w:r w:rsidRPr="002C0202">
        <w:rPr>
          <w:rFonts w:asciiTheme="minorHAnsi" w:hAnsiTheme="minorHAnsi" w:cstheme="minorHAnsi"/>
          <w:sz w:val="24"/>
          <w:szCs w:val="24"/>
        </w:rPr>
        <w:t>% of the total available evaluation points.</w:t>
      </w:r>
    </w:p>
    <w:p w14:paraId="325C9923" w14:textId="77777777" w:rsidR="00D33736" w:rsidRPr="00E007B3" w:rsidRDefault="00D33736" w:rsidP="00D33736">
      <w:pPr>
        <w:ind w:left="900"/>
        <w:rPr>
          <w:rFonts w:asciiTheme="minorHAnsi" w:hAnsiTheme="minorHAnsi" w:cstheme="minorHAnsi"/>
          <w:sz w:val="24"/>
          <w:szCs w:val="24"/>
        </w:rPr>
      </w:pPr>
    </w:p>
    <w:p w14:paraId="256BAF0E" w14:textId="77777777" w:rsidR="00D33736" w:rsidRPr="00E007B3" w:rsidRDefault="00D33736" w:rsidP="00D33736">
      <w:pPr>
        <w:ind w:left="900"/>
        <w:rPr>
          <w:rFonts w:asciiTheme="minorHAnsi" w:hAnsiTheme="minorHAnsi" w:cstheme="minorHAnsi"/>
          <w:sz w:val="24"/>
          <w:szCs w:val="24"/>
        </w:rPr>
      </w:pPr>
      <w:r w:rsidRPr="00E007B3">
        <w:rPr>
          <w:rFonts w:asciiTheme="minorHAnsi" w:hAnsiTheme="minorHAnsi" w:cstheme="minorHAnsi"/>
          <w:sz w:val="24"/>
          <w:szCs w:val="24"/>
        </w:rPr>
        <w:t xml:space="preserve">As outlined in section 3, bidders are required to provide information and supplemental materials addressing employee qualifications.  </w:t>
      </w:r>
    </w:p>
    <w:p w14:paraId="2F276FAC" w14:textId="77777777" w:rsidR="00D33736" w:rsidRPr="00A46C3C" w:rsidRDefault="00D33736" w:rsidP="00D33736">
      <w:pPr>
        <w:pStyle w:val="Heading3"/>
        <w:rPr>
          <w:sz w:val="24"/>
          <w:szCs w:val="24"/>
        </w:rPr>
      </w:pPr>
      <w:bookmarkStart w:id="52" w:name="_Toc153181504"/>
      <w:bookmarkStart w:id="53" w:name="_Toc157941505"/>
      <w:bookmarkStart w:id="54" w:name="_Toc158799493"/>
      <w:bookmarkStart w:id="55" w:name="_Toc232417817"/>
      <w:r w:rsidRPr="00A46C3C">
        <w:rPr>
          <w:sz w:val="24"/>
          <w:szCs w:val="24"/>
        </w:rPr>
        <w:t>Capacity plan, resources, and infrastructure for this Contract</w:t>
      </w:r>
      <w:bookmarkEnd w:id="52"/>
      <w:bookmarkEnd w:id="53"/>
      <w:bookmarkEnd w:id="54"/>
      <w:bookmarkEnd w:id="55"/>
      <w:r w:rsidRPr="00A46C3C">
        <w:rPr>
          <w:sz w:val="24"/>
          <w:szCs w:val="24"/>
        </w:rPr>
        <w:t xml:space="preserve"> </w:t>
      </w:r>
    </w:p>
    <w:p w14:paraId="16F3ED2F" w14:textId="77777777" w:rsidR="00D33736" w:rsidRPr="00A46C3C" w:rsidRDefault="00D33736" w:rsidP="00D33736"/>
    <w:p w14:paraId="26DED36E" w14:textId="77777777" w:rsidR="00D33736" w:rsidRPr="00DF076D" w:rsidRDefault="00D33736" w:rsidP="00D33736">
      <w:pPr>
        <w:ind w:left="900"/>
        <w:rPr>
          <w:rFonts w:asciiTheme="minorHAnsi" w:hAnsiTheme="minorHAnsi" w:cstheme="minorHAnsi"/>
          <w:sz w:val="24"/>
          <w:szCs w:val="24"/>
        </w:rPr>
      </w:pPr>
      <w:r w:rsidRPr="00A46C3C">
        <w:t xml:space="preserve">Capacity </w:t>
      </w:r>
      <w:r w:rsidRPr="002C0202">
        <w:rPr>
          <w:rFonts w:asciiTheme="minorHAnsi" w:hAnsiTheme="minorHAnsi" w:cstheme="minorHAnsi"/>
          <w:sz w:val="24"/>
          <w:szCs w:val="24"/>
        </w:rPr>
        <w:t xml:space="preserve">will be </w:t>
      </w:r>
      <w:r>
        <w:rPr>
          <w:rFonts w:asciiTheme="minorHAnsi" w:hAnsiTheme="minorHAnsi" w:cstheme="minorHAnsi"/>
          <w:sz w:val="24"/>
          <w:szCs w:val="24"/>
        </w:rPr>
        <w:t>4</w:t>
      </w:r>
      <w:r w:rsidRPr="002C0202">
        <w:rPr>
          <w:rFonts w:asciiTheme="minorHAnsi" w:hAnsiTheme="minorHAnsi" w:cstheme="minorHAnsi"/>
          <w:sz w:val="24"/>
          <w:szCs w:val="24"/>
        </w:rPr>
        <w:t>% of the total available evaluation points.</w:t>
      </w:r>
    </w:p>
    <w:p w14:paraId="4D61F502" w14:textId="77777777" w:rsidR="00D33736" w:rsidRPr="00A46C3C" w:rsidRDefault="00D33736" w:rsidP="00D33736">
      <w:pPr>
        <w:ind w:left="900"/>
      </w:pPr>
      <w:r w:rsidRPr="00A46C3C">
        <w:t xml:space="preserve">As outlined in 3.2.2, bidders are required to demonstrate adequate capacity and infrastructure to support the successful completion of contractual deliverables. Bidders must submit bank </w:t>
      </w:r>
      <w:proofErr w:type="gramStart"/>
      <w:r w:rsidRPr="00A46C3C">
        <w:t>letter</w:t>
      </w:r>
      <w:proofErr w:type="gramEnd"/>
      <w:r w:rsidRPr="00A46C3C">
        <w:t xml:space="preserve"> demonstrating their ability to carry a $300,000 line of credit for 45 days.  </w:t>
      </w:r>
    </w:p>
    <w:p w14:paraId="42012398" w14:textId="77777777" w:rsidR="00D33736" w:rsidRPr="00A46C3C" w:rsidRDefault="00D33736" w:rsidP="00D33736">
      <w:pPr>
        <w:ind w:left="900"/>
      </w:pPr>
    </w:p>
    <w:p w14:paraId="40BF5E34" w14:textId="77777777" w:rsidR="00D33736" w:rsidRPr="00A46C3C" w:rsidRDefault="00D33736" w:rsidP="00D33736">
      <w:pPr>
        <w:ind w:left="900"/>
      </w:pPr>
      <w:r w:rsidRPr="00A46C3C">
        <w:t>Bidders who do not provide a bank letter demonstrating their ability to carry a $300,000 line of credit will be disqualified.</w:t>
      </w:r>
    </w:p>
    <w:p w14:paraId="088DBE85" w14:textId="77777777" w:rsidR="00D33736" w:rsidRPr="00A46C3C" w:rsidRDefault="00D33736" w:rsidP="00D33736"/>
    <w:p w14:paraId="40D2AEB0" w14:textId="77777777" w:rsidR="00D33736" w:rsidRPr="00A46C3C" w:rsidRDefault="00D33736" w:rsidP="00D33736">
      <w:pPr>
        <w:pStyle w:val="Heading3"/>
        <w:rPr>
          <w:sz w:val="24"/>
          <w:szCs w:val="24"/>
        </w:rPr>
      </w:pPr>
      <w:bookmarkStart w:id="56" w:name="_Toc153181506"/>
      <w:bookmarkStart w:id="57" w:name="_Toc157941507"/>
      <w:bookmarkStart w:id="58" w:name="_Toc158799495"/>
      <w:bookmarkStart w:id="59" w:name="_Toc232417818"/>
      <w:r w:rsidRPr="00A46C3C">
        <w:rPr>
          <w:sz w:val="24"/>
          <w:szCs w:val="24"/>
        </w:rPr>
        <w:t>Environmental specifications</w:t>
      </w:r>
      <w:bookmarkEnd w:id="56"/>
      <w:bookmarkEnd w:id="57"/>
      <w:bookmarkEnd w:id="58"/>
      <w:bookmarkEnd w:id="59"/>
      <w:r w:rsidRPr="00A46C3C">
        <w:rPr>
          <w:sz w:val="24"/>
          <w:szCs w:val="24"/>
        </w:rPr>
        <w:t xml:space="preserve"> </w:t>
      </w:r>
    </w:p>
    <w:p w14:paraId="6D845C84" w14:textId="77777777" w:rsidR="00D33736" w:rsidRPr="00A46C3C" w:rsidRDefault="00D33736" w:rsidP="00D33736"/>
    <w:p w14:paraId="09DE3835" w14:textId="77777777" w:rsidR="00D33736" w:rsidRPr="00DF076D" w:rsidRDefault="00D33736" w:rsidP="00D33736">
      <w:pPr>
        <w:ind w:left="900"/>
        <w:rPr>
          <w:rFonts w:asciiTheme="minorHAnsi" w:hAnsiTheme="minorHAnsi" w:cstheme="minorHAnsi"/>
          <w:sz w:val="24"/>
          <w:szCs w:val="24"/>
        </w:rPr>
      </w:pPr>
      <w:r w:rsidRPr="00DF076D">
        <w:rPr>
          <w:rFonts w:asciiTheme="minorHAnsi" w:hAnsiTheme="minorHAnsi" w:cstheme="minorHAnsi"/>
          <w:sz w:val="24"/>
          <w:szCs w:val="24"/>
        </w:rPr>
        <w:t xml:space="preserve">Environmental specifications will be </w:t>
      </w:r>
      <w:r>
        <w:rPr>
          <w:rFonts w:asciiTheme="minorHAnsi" w:hAnsiTheme="minorHAnsi" w:cstheme="minorHAnsi"/>
          <w:sz w:val="24"/>
          <w:szCs w:val="24"/>
        </w:rPr>
        <w:t>4</w:t>
      </w:r>
      <w:r w:rsidRPr="00DF076D">
        <w:rPr>
          <w:rFonts w:asciiTheme="minorHAnsi" w:hAnsiTheme="minorHAnsi" w:cstheme="minorHAnsi"/>
          <w:sz w:val="24"/>
          <w:szCs w:val="24"/>
        </w:rPr>
        <w:t>% of the total available evaluation points.</w:t>
      </w:r>
    </w:p>
    <w:p w14:paraId="2D1EED4C" w14:textId="77777777" w:rsidR="00D33736" w:rsidRPr="00DF076D" w:rsidRDefault="00D33736" w:rsidP="00D33736">
      <w:pPr>
        <w:tabs>
          <w:tab w:val="left" w:pos="900"/>
          <w:tab w:val="left" w:pos="990"/>
        </w:tabs>
        <w:ind w:left="900"/>
        <w:rPr>
          <w:rFonts w:asciiTheme="minorHAnsi" w:hAnsiTheme="minorHAnsi" w:cstheme="minorHAnsi"/>
          <w:sz w:val="24"/>
          <w:szCs w:val="24"/>
        </w:rPr>
      </w:pPr>
    </w:p>
    <w:p w14:paraId="16823E40" w14:textId="77777777" w:rsidR="00D33736" w:rsidRPr="00DF076D" w:rsidRDefault="00D33736" w:rsidP="00D33736">
      <w:pPr>
        <w:tabs>
          <w:tab w:val="left" w:pos="900"/>
          <w:tab w:val="left" w:pos="990"/>
        </w:tabs>
        <w:ind w:left="900"/>
        <w:rPr>
          <w:rFonts w:asciiTheme="minorHAnsi" w:hAnsiTheme="minorHAnsi" w:cstheme="minorHAnsi"/>
          <w:sz w:val="24"/>
          <w:szCs w:val="24"/>
        </w:rPr>
      </w:pPr>
      <w:r w:rsidRPr="00DF076D">
        <w:rPr>
          <w:rFonts w:asciiTheme="minorHAnsi" w:hAnsiTheme="minorHAnsi" w:cstheme="minorHAnsi"/>
          <w:sz w:val="24"/>
          <w:szCs w:val="24"/>
        </w:rPr>
        <w:t xml:space="preserve">The bidders Environmental Practices and use of Environmentally Preferred Products as outlined on their EPP form. </w:t>
      </w:r>
    </w:p>
    <w:p w14:paraId="1D9AD539" w14:textId="77777777" w:rsidR="00D33736" w:rsidRPr="00A46C3C" w:rsidRDefault="00D33736" w:rsidP="00D33736">
      <w:pPr>
        <w:pStyle w:val="Heading3"/>
        <w:rPr>
          <w:sz w:val="24"/>
          <w:szCs w:val="24"/>
        </w:rPr>
      </w:pPr>
      <w:bookmarkStart w:id="60" w:name="_Toc153181507"/>
      <w:bookmarkStart w:id="61" w:name="_Toc157941508"/>
      <w:bookmarkStart w:id="62" w:name="_Toc158799496"/>
      <w:bookmarkStart w:id="63" w:name="_Toc232417819"/>
      <w:r w:rsidRPr="00A46C3C">
        <w:rPr>
          <w:sz w:val="24"/>
          <w:szCs w:val="24"/>
        </w:rPr>
        <w:t>Online/web capability</w:t>
      </w:r>
      <w:bookmarkEnd w:id="60"/>
      <w:bookmarkEnd w:id="61"/>
      <w:bookmarkEnd w:id="62"/>
      <w:bookmarkEnd w:id="63"/>
      <w:r w:rsidRPr="00A46C3C">
        <w:rPr>
          <w:sz w:val="24"/>
          <w:szCs w:val="24"/>
        </w:rPr>
        <w:t xml:space="preserve"> </w:t>
      </w:r>
    </w:p>
    <w:p w14:paraId="57F2B97B" w14:textId="77777777" w:rsidR="00D33736" w:rsidRPr="00A46C3C" w:rsidRDefault="00D33736" w:rsidP="00D33736"/>
    <w:p w14:paraId="15C2925B" w14:textId="77777777" w:rsidR="00D33736" w:rsidRPr="00DF076D" w:rsidRDefault="00D33736" w:rsidP="00D33736">
      <w:pPr>
        <w:tabs>
          <w:tab w:val="left" w:pos="900"/>
        </w:tabs>
        <w:ind w:left="900"/>
        <w:rPr>
          <w:rFonts w:asciiTheme="minorHAnsi" w:hAnsiTheme="minorHAnsi" w:cstheme="minorHAnsi"/>
          <w:sz w:val="24"/>
          <w:szCs w:val="24"/>
        </w:rPr>
      </w:pPr>
      <w:r w:rsidRPr="00DF076D">
        <w:rPr>
          <w:rFonts w:asciiTheme="minorHAnsi" w:hAnsiTheme="minorHAnsi" w:cstheme="minorHAnsi"/>
          <w:sz w:val="24"/>
          <w:szCs w:val="24"/>
        </w:rPr>
        <w:t xml:space="preserve">Online/web capabilities </w:t>
      </w:r>
      <w:r w:rsidRPr="002C0202">
        <w:rPr>
          <w:rFonts w:asciiTheme="minorHAnsi" w:hAnsiTheme="minorHAnsi" w:cstheme="minorHAnsi"/>
          <w:sz w:val="24"/>
          <w:szCs w:val="24"/>
        </w:rPr>
        <w:t xml:space="preserve">will be </w:t>
      </w:r>
      <w:r>
        <w:rPr>
          <w:rFonts w:asciiTheme="minorHAnsi" w:hAnsiTheme="minorHAnsi" w:cstheme="minorHAnsi"/>
          <w:sz w:val="24"/>
          <w:szCs w:val="24"/>
        </w:rPr>
        <w:t>4</w:t>
      </w:r>
      <w:r w:rsidRPr="002C0202">
        <w:rPr>
          <w:rFonts w:asciiTheme="minorHAnsi" w:hAnsiTheme="minorHAnsi" w:cstheme="minorHAnsi"/>
          <w:sz w:val="24"/>
          <w:szCs w:val="24"/>
        </w:rPr>
        <w:t>% of the total available evaluation points.</w:t>
      </w:r>
    </w:p>
    <w:p w14:paraId="64756B66" w14:textId="77777777" w:rsidR="00D33736" w:rsidRPr="00DF076D" w:rsidRDefault="00D33736" w:rsidP="00D33736">
      <w:pPr>
        <w:ind w:left="1080"/>
        <w:rPr>
          <w:rFonts w:asciiTheme="minorHAnsi" w:hAnsiTheme="minorHAnsi" w:cstheme="minorHAnsi"/>
          <w:sz w:val="24"/>
          <w:szCs w:val="24"/>
        </w:rPr>
      </w:pPr>
    </w:p>
    <w:p w14:paraId="7650417A" w14:textId="07A606B1" w:rsidR="0050088A" w:rsidRPr="0050088A" w:rsidRDefault="00D33736" w:rsidP="00D33736">
      <w:pPr>
        <w:pStyle w:val="NoSpacing"/>
        <w:ind w:left="90"/>
        <w:rPr>
          <w:rFonts w:asciiTheme="minorHAnsi" w:hAnsiTheme="minorHAnsi" w:cstheme="minorHAnsi"/>
          <w:sz w:val="24"/>
          <w:szCs w:val="24"/>
        </w:rPr>
      </w:pPr>
      <w:r w:rsidRPr="00DF076D">
        <w:rPr>
          <w:rFonts w:asciiTheme="minorHAnsi" w:hAnsiTheme="minorHAnsi" w:cstheme="minorHAnsi"/>
          <w:sz w:val="24"/>
          <w:szCs w:val="24"/>
        </w:rPr>
        <w:t xml:space="preserve">Bidders must demonstrate that they maintain a public-facing online presence and can update public-facing online media regularly and routinely.  Bidders must identify resources (staffing, subcontractors, etc.) utilized to maintain a robust, dynamic and responsive digital presence.  </w:t>
      </w:r>
    </w:p>
    <w:sectPr w:rsidR="0050088A" w:rsidRPr="0050088A" w:rsidSect="0050088A">
      <w:footerReference w:type="default" r:id="rId12"/>
      <w:pgSz w:w="12240" w:h="15840"/>
      <w:pgMar w:top="1440" w:right="1440" w:bottom="1440" w:left="1440" w:header="720"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B169" w14:textId="77777777" w:rsidR="00953BFA" w:rsidRDefault="00953BFA" w:rsidP="00226219">
      <w:r>
        <w:separator/>
      </w:r>
    </w:p>
  </w:endnote>
  <w:endnote w:type="continuationSeparator" w:id="0">
    <w:p w14:paraId="40BEFADC" w14:textId="77777777" w:rsidR="00953BFA" w:rsidRDefault="00953BFA" w:rsidP="0022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01148"/>
      <w:docPartObj>
        <w:docPartGallery w:val="Page Numbers (Bottom of Page)"/>
        <w:docPartUnique/>
      </w:docPartObj>
    </w:sdtPr>
    <w:sdtEndPr/>
    <w:sdtContent>
      <w:sdt>
        <w:sdtPr>
          <w:id w:val="816616988"/>
          <w:docPartObj>
            <w:docPartGallery w:val="Page Numbers (Top of Page)"/>
            <w:docPartUnique/>
          </w:docPartObj>
        </w:sdtPr>
        <w:sdtEndPr/>
        <w:sdtContent>
          <w:p w14:paraId="4F607A7E" w14:textId="77777777" w:rsidR="00F969EB" w:rsidRDefault="00F969EB">
            <w:pPr>
              <w:pStyle w:val="Footer"/>
              <w:jc w:val="center"/>
            </w:pPr>
            <w:r w:rsidRPr="00226219">
              <w:rPr>
                <w:sz w:val="18"/>
                <w:szCs w:val="18"/>
              </w:rPr>
              <w:t xml:space="preserve">Page </w:t>
            </w:r>
            <w:r w:rsidRPr="00226219">
              <w:rPr>
                <w:b/>
                <w:bCs/>
                <w:sz w:val="18"/>
                <w:szCs w:val="18"/>
              </w:rPr>
              <w:fldChar w:fldCharType="begin"/>
            </w:r>
            <w:r w:rsidRPr="00226219">
              <w:rPr>
                <w:b/>
                <w:bCs/>
                <w:sz w:val="18"/>
                <w:szCs w:val="18"/>
              </w:rPr>
              <w:instrText xml:space="preserve"> PAGE </w:instrText>
            </w:r>
            <w:r w:rsidRPr="00226219">
              <w:rPr>
                <w:b/>
                <w:bCs/>
                <w:sz w:val="18"/>
                <w:szCs w:val="18"/>
              </w:rPr>
              <w:fldChar w:fldCharType="separate"/>
            </w:r>
            <w:r w:rsidRPr="00226219">
              <w:rPr>
                <w:b/>
                <w:bCs/>
                <w:noProof/>
                <w:sz w:val="18"/>
                <w:szCs w:val="18"/>
              </w:rPr>
              <w:t>2</w:t>
            </w:r>
            <w:r w:rsidRPr="00226219">
              <w:rPr>
                <w:b/>
                <w:bCs/>
                <w:sz w:val="18"/>
                <w:szCs w:val="18"/>
              </w:rPr>
              <w:fldChar w:fldCharType="end"/>
            </w:r>
            <w:r w:rsidRPr="00226219">
              <w:rPr>
                <w:sz w:val="18"/>
                <w:szCs w:val="18"/>
              </w:rPr>
              <w:t xml:space="preserve"> of </w:t>
            </w:r>
            <w:r w:rsidRPr="00226219">
              <w:rPr>
                <w:b/>
                <w:bCs/>
                <w:sz w:val="18"/>
                <w:szCs w:val="18"/>
              </w:rPr>
              <w:fldChar w:fldCharType="begin"/>
            </w:r>
            <w:r w:rsidRPr="00226219">
              <w:rPr>
                <w:b/>
                <w:bCs/>
                <w:sz w:val="18"/>
                <w:szCs w:val="18"/>
              </w:rPr>
              <w:instrText xml:space="preserve"> NUMPAGES  </w:instrText>
            </w:r>
            <w:r w:rsidRPr="00226219">
              <w:rPr>
                <w:b/>
                <w:bCs/>
                <w:sz w:val="18"/>
                <w:szCs w:val="18"/>
              </w:rPr>
              <w:fldChar w:fldCharType="separate"/>
            </w:r>
            <w:r w:rsidRPr="00226219">
              <w:rPr>
                <w:b/>
                <w:bCs/>
                <w:noProof/>
                <w:sz w:val="18"/>
                <w:szCs w:val="18"/>
              </w:rPr>
              <w:t>2</w:t>
            </w:r>
            <w:r w:rsidRPr="00226219">
              <w:rPr>
                <w:b/>
                <w:bCs/>
                <w:sz w:val="18"/>
                <w:szCs w:val="18"/>
              </w:rPr>
              <w:fldChar w:fldCharType="end"/>
            </w:r>
          </w:p>
        </w:sdtContent>
      </w:sdt>
    </w:sdtContent>
  </w:sdt>
  <w:p w14:paraId="43480F43" w14:textId="77777777" w:rsidR="00F969EB" w:rsidRDefault="00F9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16BE" w14:textId="77777777" w:rsidR="00953BFA" w:rsidRDefault="00953BFA" w:rsidP="00226219">
      <w:r>
        <w:separator/>
      </w:r>
    </w:p>
  </w:footnote>
  <w:footnote w:type="continuationSeparator" w:id="0">
    <w:p w14:paraId="5A7FEE50" w14:textId="77777777" w:rsidR="00953BFA" w:rsidRDefault="00953BFA" w:rsidP="0022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1" w15:restartNumberingAfterBreak="0">
    <w:nsid w:val="05634C5E"/>
    <w:multiLevelType w:val="hybridMultilevel"/>
    <w:tmpl w:val="EA207B2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A3249B0"/>
    <w:multiLevelType w:val="hybridMultilevel"/>
    <w:tmpl w:val="75CA2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15:restartNumberingAfterBreak="0">
    <w:nsid w:val="15093A25"/>
    <w:multiLevelType w:val="hybridMultilevel"/>
    <w:tmpl w:val="42D66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A2B5E"/>
    <w:multiLevelType w:val="hybridMultilevel"/>
    <w:tmpl w:val="1562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98E32AB"/>
    <w:multiLevelType w:val="hybridMultilevel"/>
    <w:tmpl w:val="B128C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369D4"/>
    <w:multiLevelType w:val="multilevel"/>
    <w:tmpl w:val="ABF0C8CE"/>
    <w:lvl w:ilvl="0">
      <w:start w:val="1"/>
      <w:numFmt w:val="decimal"/>
      <w:pStyle w:val="Heading1"/>
      <w:lvlText w:val="%1"/>
      <w:lvlJc w:val="left"/>
      <w:pPr>
        <w:tabs>
          <w:tab w:val="num" w:pos="360"/>
        </w:tabs>
        <w:ind w:left="864" w:hanging="864"/>
      </w:pPr>
      <w:rPr>
        <w:rFonts w:ascii="Arial" w:hAnsi="Arial" w:hint="default"/>
        <w:b/>
        <w:i w:val="0"/>
        <w:sz w:val="20"/>
        <w:szCs w:val="20"/>
      </w:rPr>
    </w:lvl>
    <w:lvl w:ilvl="1">
      <w:start w:val="1"/>
      <w:numFmt w:val="decimal"/>
      <w:pStyle w:val="Heading2"/>
      <w:lvlText w:val="%1.%2"/>
      <w:lvlJc w:val="left"/>
      <w:pPr>
        <w:tabs>
          <w:tab w:val="num" w:pos="1062"/>
        </w:tabs>
        <w:ind w:left="1926" w:hanging="1656"/>
      </w:pPr>
      <w:rPr>
        <w:rFonts w:ascii="Arial" w:hAnsi="Arial" w:hint="default"/>
        <w:b/>
        <w:i w:val="0"/>
        <w:sz w:val="20"/>
        <w:szCs w:val="20"/>
      </w:rPr>
    </w:lvl>
    <w:lvl w:ilvl="2">
      <w:start w:val="1"/>
      <w:numFmt w:val="decimal"/>
      <w:pStyle w:val="Heading3"/>
      <w:lvlText w:val="%1.%2.%3"/>
      <w:lvlJc w:val="left"/>
      <w:pPr>
        <w:tabs>
          <w:tab w:val="num" w:pos="1224"/>
        </w:tabs>
        <w:ind w:left="2520" w:hanging="2520"/>
      </w:pPr>
      <w:rPr>
        <w:rFonts w:ascii="Arial" w:hAnsi="Arial" w:hint="default"/>
        <w:b/>
        <w:i w:val="0"/>
        <w:sz w:val="20"/>
        <w:szCs w:val="20"/>
      </w:r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D50"/>
    <w:multiLevelType w:val="hybridMultilevel"/>
    <w:tmpl w:val="CDEA1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4E73AD"/>
    <w:multiLevelType w:val="hybridMultilevel"/>
    <w:tmpl w:val="1E58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7110">
    <w:abstractNumId w:val="5"/>
  </w:num>
  <w:num w:numId="2" w16cid:durableId="1100368237">
    <w:abstractNumId w:val="1"/>
  </w:num>
  <w:num w:numId="3" w16cid:durableId="228000085">
    <w:abstractNumId w:val="9"/>
  </w:num>
  <w:num w:numId="4" w16cid:durableId="135686723">
    <w:abstractNumId w:val="8"/>
  </w:num>
  <w:num w:numId="5" w16cid:durableId="1430589976">
    <w:abstractNumId w:val="7"/>
  </w:num>
  <w:num w:numId="6" w16cid:durableId="1988242401">
    <w:abstractNumId w:val="4"/>
  </w:num>
  <w:num w:numId="7" w16cid:durableId="321812028">
    <w:abstractNumId w:val="0"/>
  </w:num>
  <w:num w:numId="8" w16cid:durableId="2008513357">
    <w:abstractNumId w:val="3"/>
  </w:num>
  <w:num w:numId="9" w16cid:durableId="401873997">
    <w:abstractNumId w:val="10"/>
  </w:num>
  <w:num w:numId="10" w16cid:durableId="867722690">
    <w:abstractNumId w:val="2"/>
  </w:num>
  <w:num w:numId="11" w16cid:durableId="302320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E0"/>
    <w:rsid w:val="000035B1"/>
    <w:rsid w:val="00003BEC"/>
    <w:rsid w:val="00054D88"/>
    <w:rsid w:val="00056DC8"/>
    <w:rsid w:val="00062E95"/>
    <w:rsid w:val="00063415"/>
    <w:rsid w:val="0006514C"/>
    <w:rsid w:val="00065EF3"/>
    <w:rsid w:val="000670C7"/>
    <w:rsid w:val="000676ED"/>
    <w:rsid w:val="000700A7"/>
    <w:rsid w:val="000710B6"/>
    <w:rsid w:val="0008102C"/>
    <w:rsid w:val="000A3FB6"/>
    <w:rsid w:val="000B1B4C"/>
    <w:rsid w:val="000C376F"/>
    <w:rsid w:val="000F5A15"/>
    <w:rsid w:val="00111BE0"/>
    <w:rsid w:val="00121552"/>
    <w:rsid w:val="00122C81"/>
    <w:rsid w:val="00130FFC"/>
    <w:rsid w:val="0013154B"/>
    <w:rsid w:val="00131B5E"/>
    <w:rsid w:val="001346B8"/>
    <w:rsid w:val="00144019"/>
    <w:rsid w:val="00152813"/>
    <w:rsid w:val="00161E08"/>
    <w:rsid w:val="001637D2"/>
    <w:rsid w:val="00174598"/>
    <w:rsid w:val="0017724F"/>
    <w:rsid w:val="001853DD"/>
    <w:rsid w:val="00185D5F"/>
    <w:rsid w:val="001861D8"/>
    <w:rsid w:val="00193287"/>
    <w:rsid w:val="001B1148"/>
    <w:rsid w:val="001F2D41"/>
    <w:rsid w:val="001F6264"/>
    <w:rsid w:val="00207174"/>
    <w:rsid w:val="002148CF"/>
    <w:rsid w:val="002220EE"/>
    <w:rsid w:val="00223677"/>
    <w:rsid w:val="00226219"/>
    <w:rsid w:val="00232B76"/>
    <w:rsid w:val="002411BB"/>
    <w:rsid w:val="00241504"/>
    <w:rsid w:val="002476DF"/>
    <w:rsid w:val="00266223"/>
    <w:rsid w:val="002759BE"/>
    <w:rsid w:val="002779E7"/>
    <w:rsid w:val="00277FC2"/>
    <w:rsid w:val="002A0201"/>
    <w:rsid w:val="002A5E15"/>
    <w:rsid w:val="002B7B74"/>
    <w:rsid w:val="002F4006"/>
    <w:rsid w:val="002F512E"/>
    <w:rsid w:val="002F7676"/>
    <w:rsid w:val="0030665C"/>
    <w:rsid w:val="00315517"/>
    <w:rsid w:val="003230E5"/>
    <w:rsid w:val="00336074"/>
    <w:rsid w:val="00341DC2"/>
    <w:rsid w:val="003445E2"/>
    <w:rsid w:val="00345A1F"/>
    <w:rsid w:val="003665AC"/>
    <w:rsid w:val="003760E5"/>
    <w:rsid w:val="003800A1"/>
    <w:rsid w:val="00380D79"/>
    <w:rsid w:val="003827ED"/>
    <w:rsid w:val="0038343A"/>
    <w:rsid w:val="00387156"/>
    <w:rsid w:val="00390C79"/>
    <w:rsid w:val="003B5373"/>
    <w:rsid w:val="003B6CCF"/>
    <w:rsid w:val="003D7F7D"/>
    <w:rsid w:val="003E68B1"/>
    <w:rsid w:val="003F3B94"/>
    <w:rsid w:val="003F5276"/>
    <w:rsid w:val="00400AAF"/>
    <w:rsid w:val="00407063"/>
    <w:rsid w:val="00410CF8"/>
    <w:rsid w:val="00425ABA"/>
    <w:rsid w:val="00427AE0"/>
    <w:rsid w:val="004313B1"/>
    <w:rsid w:val="00434097"/>
    <w:rsid w:val="004476CD"/>
    <w:rsid w:val="004636A4"/>
    <w:rsid w:val="00466CE6"/>
    <w:rsid w:val="004679F2"/>
    <w:rsid w:val="0048294A"/>
    <w:rsid w:val="004848C7"/>
    <w:rsid w:val="00487F89"/>
    <w:rsid w:val="004A3FA8"/>
    <w:rsid w:val="004B11E6"/>
    <w:rsid w:val="004E0D8D"/>
    <w:rsid w:val="004F7F55"/>
    <w:rsid w:val="0050088A"/>
    <w:rsid w:val="00502C98"/>
    <w:rsid w:val="0050326C"/>
    <w:rsid w:val="005039C9"/>
    <w:rsid w:val="0050719A"/>
    <w:rsid w:val="00526D28"/>
    <w:rsid w:val="005277A5"/>
    <w:rsid w:val="0053457A"/>
    <w:rsid w:val="00553107"/>
    <w:rsid w:val="00557333"/>
    <w:rsid w:val="00561F3C"/>
    <w:rsid w:val="00562374"/>
    <w:rsid w:val="00565D4F"/>
    <w:rsid w:val="00575723"/>
    <w:rsid w:val="00576B07"/>
    <w:rsid w:val="00577D7C"/>
    <w:rsid w:val="00580DFE"/>
    <w:rsid w:val="0058391E"/>
    <w:rsid w:val="00587AA9"/>
    <w:rsid w:val="00590327"/>
    <w:rsid w:val="005A45E7"/>
    <w:rsid w:val="005A5433"/>
    <w:rsid w:val="005A67C9"/>
    <w:rsid w:val="005A759A"/>
    <w:rsid w:val="005A76DE"/>
    <w:rsid w:val="005B0795"/>
    <w:rsid w:val="005B2CED"/>
    <w:rsid w:val="005C24C2"/>
    <w:rsid w:val="005C5314"/>
    <w:rsid w:val="005D3ADD"/>
    <w:rsid w:val="005D5F28"/>
    <w:rsid w:val="005E0423"/>
    <w:rsid w:val="005F25BB"/>
    <w:rsid w:val="005F4309"/>
    <w:rsid w:val="00606ADB"/>
    <w:rsid w:val="006204C8"/>
    <w:rsid w:val="00625BC0"/>
    <w:rsid w:val="00627316"/>
    <w:rsid w:val="006445F0"/>
    <w:rsid w:val="006451C2"/>
    <w:rsid w:val="00653867"/>
    <w:rsid w:val="00660EC3"/>
    <w:rsid w:val="0066479C"/>
    <w:rsid w:val="0067217F"/>
    <w:rsid w:val="00672BF3"/>
    <w:rsid w:val="00673B95"/>
    <w:rsid w:val="0067564D"/>
    <w:rsid w:val="00696D54"/>
    <w:rsid w:val="006B4C87"/>
    <w:rsid w:val="006D47ED"/>
    <w:rsid w:val="006D4EF2"/>
    <w:rsid w:val="006E346D"/>
    <w:rsid w:val="006E694F"/>
    <w:rsid w:val="006F775D"/>
    <w:rsid w:val="007012C0"/>
    <w:rsid w:val="0070216D"/>
    <w:rsid w:val="00720D3A"/>
    <w:rsid w:val="007405BB"/>
    <w:rsid w:val="00743611"/>
    <w:rsid w:val="00743B89"/>
    <w:rsid w:val="00751260"/>
    <w:rsid w:val="0075604C"/>
    <w:rsid w:val="007622A7"/>
    <w:rsid w:val="00763DF2"/>
    <w:rsid w:val="007646F1"/>
    <w:rsid w:val="007677D6"/>
    <w:rsid w:val="00771C79"/>
    <w:rsid w:val="00783838"/>
    <w:rsid w:val="00783974"/>
    <w:rsid w:val="007C4782"/>
    <w:rsid w:val="007D1B2A"/>
    <w:rsid w:val="007D4F55"/>
    <w:rsid w:val="007E3600"/>
    <w:rsid w:val="007E3B19"/>
    <w:rsid w:val="007E77FE"/>
    <w:rsid w:val="008038F2"/>
    <w:rsid w:val="00806FB5"/>
    <w:rsid w:val="00807C5B"/>
    <w:rsid w:val="00811AC0"/>
    <w:rsid w:val="0081531C"/>
    <w:rsid w:val="008263A3"/>
    <w:rsid w:val="00827BA7"/>
    <w:rsid w:val="00840667"/>
    <w:rsid w:val="008471B1"/>
    <w:rsid w:val="0085481E"/>
    <w:rsid w:val="00864166"/>
    <w:rsid w:val="008819FC"/>
    <w:rsid w:val="008867CF"/>
    <w:rsid w:val="008A00CD"/>
    <w:rsid w:val="008A7542"/>
    <w:rsid w:val="008B29A5"/>
    <w:rsid w:val="008C2A75"/>
    <w:rsid w:val="008C585F"/>
    <w:rsid w:val="008F0206"/>
    <w:rsid w:val="008F389E"/>
    <w:rsid w:val="00906145"/>
    <w:rsid w:val="00915451"/>
    <w:rsid w:val="0092235E"/>
    <w:rsid w:val="009243D5"/>
    <w:rsid w:val="0094588D"/>
    <w:rsid w:val="00953BFA"/>
    <w:rsid w:val="00955CBD"/>
    <w:rsid w:val="009627B8"/>
    <w:rsid w:val="009726A1"/>
    <w:rsid w:val="00974A4B"/>
    <w:rsid w:val="0098733E"/>
    <w:rsid w:val="00991B54"/>
    <w:rsid w:val="00994222"/>
    <w:rsid w:val="00995875"/>
    <w:rsid w:val="009A1E62"/>
    <w:rsid w:val="009B42C9"/>
    <w:rsid w:val="009B59FE"/>
    <w:rsid w:val="009C36E2"/>
    <w:rsid w:val="009D6978"/>
    <w:rsid w:val="00A02604"/>
    <w:rsid w:val="00A02DBF"/>
    <w:rsid w:val="00A157E9"/>
    <w:rsid w:val="00A22220"/>
    <w:rsid w:val="00A27B60"/>
    <w:rsid w:val="00A30F92"/>
    <w:rsid w:val="00A3707B"/>
    <w:rsid w:val="00A40936"/>
    <w:rsid w:val="00A455B2"/>
    <w:rsid w:val="00A66ABA"/>
    <w:rsid w:val="00A801E0"/>
    <w:rsid w:val="00A9496E"/>
    <w:rsid w:val="00AB1CB7"/>
    <w:rsid w:val="00AD1C7D"/>
    <w:rsid w:val="00AD3B11"/>
    <w:rsid w:val="00AE1024"/>
    <w:rsid w:val="00AF0AF4"/>
    <w:rsid w:val="00AF39E5"/>
    <w:rsid w:val="00AF3E92"/>
    <w:rsid w:val="00AF483D"/>
    <w:rsid w:val="00AF5428"/>
    <w:rsid w:val="00B00B17"/>
    <w:rsid w:val="00B153F1"/>
    <w:rsid w:val="00B15EF1"/>
    <w:rsid w:val="00B16FA1"/>
    <w:rsid w:val="00B226D4"/>
    <w:rsid w:val="00B4594C"/>
    <w:rsid w:val="00B57089"/>
    <w:rsid w:val="00B6015D"/>
    <w:rsid w:val="00B6148E"/>
    <w:rsid w:val="00B652D5"/>
    <w:rsid w:val="00B81ED2"/>
    <w:rsid w:val="00B9723F"/>
    <w:rsid w:val="00BA282F"/>
    <w:rsid w:val="00BA36D6"/>
    <w:rsid w:val="00BA404F"/>
    <w:rsid w:val="00BA57B8"/>
    <w:rsid w:val="00BB732A"/>
    <w:rsid w:val="00BC10BA"/>
    <w:rsid w:val="00BC7DD2"/>
    <w:rsid w:val="00BD1A4D"/>
    <w:rsid w:val="00BD72EA"/>
    <w:rsid w:val="00BE3B3E"/>
    <w:rsid w:val="00BE3F0B"/>
    <w:rsid w:val="00BF0915"/>
    <w:rsid w:val="00BF782F"/>
    <w:rsid w:val="00C02CDF"/>
    <w:rsid w:val="00C112B7"/>
    <w:rsid w:val="00C15DB7"/>
    <w:rsid w:val="00C31443"/>
    <w:rsid w:val="00C3539A"/>
    <w:rsid w:val="00C40053"/>
    <w:rsid w:val="00C42671"/>
    <w:rsid w:val="00C54FE5"/>
    <w:rsid w:val="00C71AA7"/>
    <w:rsid w:val="00C83B4A"/>
    <w:rsid w:val="00C86AB7"/>
    <w:rsid w:val="00C914B7"/>
    <w:rsid w:val="00CA120F"/>
    <w:rsid w:val="00CA7969"/>
    <w:rsid w:val="00CB0000"/>
    <w:rsid w:val="00CB535F"/>
    <w:rsid w:val="00CD4624"/>
    <w:rsid w:val="00CD7C35"/>
    <w:rsid w:val="00CF1E86"/>
    <w:rsid w:val="00D139CA"/>
    <w:rsid w:val="00D21C94"/>
    <w:rsid w:val="00D2301D"/>
    <w:rsid w:val="00D23C72"/>
    <w:rsid w:val="00D33736"/>
    <w:rsid w:val="00D3658E"/>
    <w:rsid w:val="00D40496"/>
    <w:rsid w:val="00D45D54"/>
    <w:rsid w:val="00D50A90"/>
    <w:rsid w:val="00D71AF3"/>
    <w:rsid w:val="00D766D5"/>
    <w:rsid w:val="00D90035"/>
    <w:rsid w:val="00D9140D"/>
    <w:rsid w:val="00DC29C4"/>
    <w:rsid w:val="00DC34BD"/>
    <w:rsid w:val="00DC4FAB"/>
    <w:rsid w:val="00DC7D9B"/>
    <w:rsid w:val="00DE1010"/>
    <w:rsid w:val="00DE657B"/>
    <w:rsid w:val="00E05CD7"/>
    <w:rsid w:val="00E1732F"/>
    <w:rsid w:val="00E21BB5"/>
    <w:rsid w:val="00E21F30"/>
    <w:rsid w:val="00E23037"/>
    <w:rsid w:val="00E266CC"/>
    <w:rsid w:val="00E343B7"/>
    <w:rsid w:val="00E34576"/>
    <w:rsid w:val="00E6760C"/>
    <w:rsid w:val="00E92A64"/>
    <w:rsid w:val="00EA2190"/>
    <w:rsid w:val="00EA40B8"/>
    <w:rsid w:val="00EA63A1"/>
    <w:rsid w:val="00EA68D3"/>
    <w:rsid w:val="00EA6B28"/>
    <w:rsid w:val="00EB1371"/>
    <w:rsid w:val="00EB4B7D"/>
    <w:rsid w:val="00EB5662"/>
    <w:rsid w:val="00EB6035"/>
    <w:rsid w:val="00EB7441"/>
    <w:rsid w:val="00EC1913"/>
    <w:rsid w:val="00EC38C6"/>
    <w:rsid w:val="00EC3E5D"/>
    <w:rsid w:val="00EC4D4B"/>
    <w:rsid w:val="00EE4621"/>
    <w:rsid w:val="00EF4D43"/>
    <w:rsid w:val="00EF7A33"/>
    <w:rsid w:val="00F07312"/>
    <w:rsid w:val="00F30F32"/>
    <w:rsid w:val="00F36BD1"/>
    <w:rsid w:val="00F52FBF"/>
    <w:rsid w:val="00F57FE7"/>
    <w:rsid w:val="00F675C8"/>
    <w:rsid w:val="00F67F22"/>
    <w:rsid w:val="00F7116B"/>
    <w:rsid w:val="00F750F7"/>
    <w:rsid w:val="00F80B25"/>
    <w:rsid w:val="00F844B3"/>
    <w:rsid w:val="00F8534C"/>
    <w:rsid w:val="00F87113"/>
    <w:rsid w:val="00F87FD3"/>
    <w:rsid w:val="00F93C7B"/>
    <w:rsid w:val="00F969EB"/>
    <w:rsid w:val="00FA3B9E"/>
    <w:rsid w:val="00FA470A"/>
    <w:rsid w:val="00FB0632"/>
    <w:rsid w:val="00FC226E"/>
    <w:rsid w:val="00FD625C"/>
    <w:rsid w:val="00FE2342"/>
    <w:rsid w:val="00FF46D4"/>
    <w:rsid w:val="00FF75C4"/>
    <w:rsid w:val="05F0730B"/>
    <w:rsid w:val="06A1EE48"/>
    <w:rsid w:val="07E3278B"/>
    <w:rsid w:val="0AA08D86"/>
    <w:rsid w:val="0AC3E42E"/>
    <w:rsid w:val="0AFEAA6C"/>
    <w:rsid w:val="0B4FB7F7"/>
    <w:rsid w:val="0C5FB48F"/>
    <w:rsid w:val="1099076E"/>
    <w:rsid w:val="11094902"/>
    <w:rsid w:val="12F8EBF5"/>
    <w:rsid w:val="153D7384"/>
    <w:rsid w:val="154D8D0E"/>
    <w:rsid w:val="17A26736"/>
    <w:rsid w:val="17CA7EAF"/>
    <w:rsid w:val="18A9F63E"/>
    <w:rsid w:val="18F7AD11"/>
    <w:rsid w:val="1AE75EFC"/>
    <w:rsid w:val="1B54BF80"/>
    <w:rsid w:val="208813B1"/>
    <w:rsid w:val="261CBC06"/>
    <w:rsid w:val="27E32AA2"/>
    <w:rsid w:val="27E64F23"/>
    <w:rsid w:val="29441CA9"/>
    <w:rsid w:val="2E7A8872"/>
    <w:rsid w:val="2FB95241"/>
    <w:rsid w:val="3095B7F7"/>
    <w:rsid w:val="30B37D6B"/>
    <w:rsid w:val="331D87AD"/>
    <w:rsid w:val="34B9580E"/>
    <w:rsid w:val="3DB82CE6"/>
    <w:rsid w:val="418EF5DB"/>
    <w:rsid w:val="442D3DF4"/>
    <w:rsid w:val="458E431A"/>
    <w:rsid w:val="4602655A"/>
    <w:rsid w:val="467339BF"/>
    <w:rsid w:val="473C6795"/>
    <w:rsid w:val="4784EFD8"/>
    <w:rsid w:val="479E35BB"/>
    <w:rsid w:val="48443ED1"/>
    <w:rsid w:val="493A061C"/>
    <w:rsid w:val="4DB0AA0B"/>
    <w:rsid w:val="522B3A51"/>
    <w:rsid w:val="54DE714F"/>
    <w:rsid w:val="5579247F"/>
    <w:rsid w:val="59F2D5DB"/>
    <w:rsid w:val="5A2AC47C"/>
    <w:rsid w:val="5B3AC114"/>
    <w:rsid w:val="5C8B0C1E"/>
    <w:rsid w:val="5DAA0578"/>
    <w:rsid w:val="5E7C671D"/>
    <w:rsid w:val="5FAE3093"/>
    <w:rsid w:val="605BC9B5"/>
    <w:rsid w:val="62575D23"/>
    <w:rsid w:val="667D73BB"/>
    <w:rsid w:val="67E10BF8"/>
    <w:rsid w:val="6C8740E0"/>
    <w:rsid w:val="6CF6E9FD"/>
    <w:rsid w:val="7062D892"/>
    <w:rsid w:val="709F93DF"/>
    <w:rsid w:val="74C26522"/>
    <w:rsid w:val="791407C3"/>
    <w:rsid w:val="7D86E180"/>
    <w:rsid w:val="7DDD739F"/>
    <w:rsid w:val="7FBD0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18FE"/>
  <w15:chartTrackingRefBased/>
  <w15:docId w15:val="{60136050-902D-444F-8C22-F6784AA3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801E0"/>
    <w:rPr>
      <w:rFonts w:eastAsia="Times New Roman" w:cs="Tahoma"/>
      <w:sz w:val="20"/>
      <w:szCs w:val="20"/>
    </w:rPr>
  </w:style>
  <w:style w:type="paragraph" w:styleId="Heading1">
    <w:name w:val="heading 1"/>
    <w:basedOn w:val="Normal"/>
    <w:next w:val="Normal"/>
    <w:link w:val="Heading1Char"/>
    <w:autoRedefine/>
    <w:qFormat/>
    <w:rsid w:val="00F67F22"/>
    <w:pPr>
      <w:keepNext/>
      <w:numPr>
        <w:numId w:val="4"/>
      </w:numPr>
      <w:pBdr>
        <w:top w:val="single" w:sz="4" w:space="1" w:color="auto"/>
        <w:bottom w:val="single" w:sz="4" w:space="1" w:color="auto"/>
      </w:pBdr>
      <w:jc w:val="both"/>
      <w:outlineLvl w:val="0"/>
    </w:pPr>
    <w:rPr>
      <w:rFonts w:ascii="Arial" w:hAnsi="Arial" w:cs="Arial"/>
      <w:b/>
      <w:bCs/>
      <w:caps/>
      <w:kern w:val="32"/>
      <w:sz w:val="22"/>
    </w:rPr>
  </w:style>
  <w:style w:type="paragraph" w:styleId="Heading2">
    <w:name w:val="heading 2"/>
    <w:basedOn w:val="Normal"/>
    <w:next w:val="Normal"/>
    <w:link w:val="Heading2Char1"/>
    <w:qFormat/>
    <w:rsid w:val="00F67F22"/>
    <w:pPr>
      <w:keepNext/>
      <w:numPr>
        <w:ilvl w:val="1"/>
        <w:numId w:val="4"/>
      </w:numPr>
      <w:tabs>
        <w:tab w:val="left" w:pos="648"/>
        <w:tab w:val="left" w:pos="720"/>
      </w:tabs>
      <w:spacing w:before="120"/>
      <w:jc w:val="both"/>
      <w:outlineLvl w:val="1"/>
    </w:pPr>
    <w:rPr>
      <w:rFonts w:ascii="Arial" w:hAnsi="Arial" w:cs="Times New Roman"/>
      <w:b/>
      <w:bCs/>
      <w:iCs/>
      <w:szCs w:val="28"/>
      <w:lang w:val="x-none" w:eastAsia="x-none"/>
    </w:rPr>
  </w:style>
  <w:style w:type="paragraph" w:styleId="Heading3">
    <w:name w:val="heading 3"/>
    <w:aliases w:val="Heading 3 Char1,Heading 3 Char Char"/>
    <w:basedOn w:val="Normal"/>
    <w:next w:val="Normal"/>
    <w:link w:val="Heading3Char"/>
    <w:qFormat/>
    <w:rsid w:val="00F67F22"/>
    <w:pPr>
      <w:numPr>
        <w:ilvl w:val="2"/>
        <w:numId w:val="4"/>
      </w:numPr>
      <w:tabs>
        <w:tab w:val="left" w:pos="900"/>
        <w:tab w:val="left" w:pos="936"/>
      </w:tabs>
      <w:spacing w:before="120"/>
      <w:jc w:val="both"/>
      <w:outlineLvl w:val="2"/>
    </w:pPr>
    <w:rPr>
      <w:rFonts w:ascii="Arial" w:hAnsi="Arial" w:cs="Times New Roman"/>
      <w:b/>
      <w:bCs/>
      <w:szCs w:val="26"/>
      <w:lang w:val="x-none" w:eastAsia="x-none"/>
    </w:rPr>
  </w:style>
  <w:style w:type="paragraph" w:styleId="Heading4">
    <w:name w:val="heading 4"/>
    <w:basedOn w:val="Heading3"/>
    <w:next w:val="Normal"/>
    <w:link w:val="Heading4Char"/>
    <w:autoRedefine/>
    <w:qFormat/>
    <w:rsid w:val="00F67F22"/>
    <w:pPr>
      <w:numPr>
        <w:ilvl w:val="3"/>
      </w:numPr>
      <w:tabs>
        <w:tab w:val="clear" w:pos="936"/>
        <w:tab w:val="left" w:pos="1267"/>
        <w:tab w:val="left" w:pos="3600"/>
      </w:tabs>
      <w:spacing w:before="0"/>
      <w:ind w:left="0" w:firstLine="0"/>
      <w:outlineLvl w:val="3"/>
    </w:pPr>
    <w:rPr>
      <w:b w:val="0"/>
      <w:szCs w:val="20"/>
    </w:rPr>
  </w:style>
  <w:style w:type="paragraph" w:styleId="Heading5">
    <w:name w:val="heading 5"/>
    <w:basedOn w:val="Heading4"/>
    <w:next w:val="Normal"/>
    <w:link w:val="Heading5Char"/>
    <w:autoRedefine/>
    <w:qFormat/>
    <w:rsid w:val="00F67F22"/>
    <w:pPr>
      <w:numPr>
        <w:ilvl w:val="4"/>
      </w:numPr>
      <w:tabs>
        <w:tab w:val="clear" w:pos="900"/>
        <w:tab w:val="clear" w:pos="1267"/>
        <w:tab w:val="clear" w:pos="3600"/>
      </w:tabs>
      <w:outlineLvl w:val="4"/>
    </w:pPr>
    <w:rPr>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1E0"/>
    <w:pPr>
      <w:contextualSpacing/>
    </w:pPr>
    <w:rPr>
      <w:rFonts w:eastAsia="Times New Roman" w:cs="Tahoma"/>
      <w:sz w:val="20"/>
      <w:szCs w:val="20"/>
    </w:rPr>
  </w:style>
  <w:style w:type="table" w:styleId="TableGrid">
    <w:name w:val="Table Grid"/>
    <w:basedOn w:val="TableNormal"/>
    <w:uiPriority w:val="59"/>
    <w:rsid w:val="00A801E0"/>
    <w:rPr>
      <w:rFonts w:eastAsia="Times New Roman"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59A"/>
    <w:rPr>
      <w:color w:val="0563C1" w:themeColor="hyperlink"/>
      <w:u w:val="single"/>
    </w:rPr>
  </w:style>
  <w:style w:type="paragraph" w:styleId="Header">
    <w:name w:val="header"/>
    <w:basedOn w:val="Normal"/>
    <w:link w:val="HeaderChar"/>
    <w:uiPriority w:val="99"/>
    <w:unhideWhenUsed/>
    <w:rsid w:val="00226219"/>
    <w:pPr>
      <w:tabs>
        <w:tab w:val="center" w:pos="4680"/>
        <w:tab w:val="right" w:pos="9360"/>
      </w:tabs>
    </w:pPr>
  </w:style>
  <w:style w:type="character" w:customStyle="1" w:styleId="HeaderChar">
    <w:name w:val="Header Char"/>
    <w:basedOn w:val="DefaultParagraphFont"/>
    <w:link w:val="Header"/>
    <w:uiPriority w:val="99"/>
    <w:rsid w:val="00226219"/>
    <w:rPr>
      <w:rFonts w:eastAsia="Times New Roman" w:cs="Tahoma"/>
      <w:sz w:val="20"/>
      <w:szCs w:val="20"/>
    </w:rPr>
  </w:style>
  <w:style w:type="paragraph" w:styleId="Footer">
    <w:name w:val="footer"/>
    <w:basedOn w:val="Normal"/>
    <w:link w:val="FooterChar"/>
    <w:uiPriority w:val="99"/>
    <w:unhideWhenUsed/>
    <w:rsid w:val="00226219"/>
    <w:pPr>
      <w:tabs>
        <w:tab w:val="center" w:pos="4680"/>
        <w:tab w:val="right" w:pos="9360"/>
      </w:tabs>
    </w:pPr>
  </w:style>
  <w:style w:type="character" w:customStyle="1" w:styleId="FooterChar">
    <w:name w:val="Footer Char"/>
    <w:basedOn w:val="DefaultParagraphFont"/>
    <w:link w:val="Footer"/>
    <w:uiPriority w:val="99"/>
    <w:rsid w:val="00226219"/>
    <w:rPr>
      <w:rFonts w:eastAsia="Times New Roman" w:cs="Tahoma"/>
      <w:sz w:val="20"/>
      <w:szCs w:val="20"/>
    </w:rPr>
  </w:style>
  <w:style w:type="paragraph" w:styleId="ListParagraph">
    <w:name w:val="List Paragraph"/>
    <w:basedOn w:val="Normal"/>
    <w:uiPriority w:val="34"/>
    <w:qFormat/>
    <w:rsid w:val="00994222"/>
    <w:pPr>
      <w:spacing w:after="200"/>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A4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277A5"/>
    <w:rPr>
      <w:color w:val="605E5C"/>
      <w:shd w:val="clear" w:color="auto" w:fill="E1DFDD"/>
    </w:rPr>
  </w:style>
  <w:style w:type="character" w:customStyle="1" w:styleId="Heading1Char">
    <w:name w:val="Heading 1 Char"/>
    <w:basedOn w:val="DefaultParagraphFont"/>
    <w:link w:val="Heading1"/>
    <w:rsid w:val="00F67F22"/>
    <w:rPr>
      <w:rFonts w:ascii="Arial" w:eastAsia="Times New Roman" w:hAnsi="Arial" w:cs="Arial"/>
      <w:b/>
      <w:bCs/>
      <w:caps/>
      <w:kern w:val="32"/>
      <w:szCs w:val="20"/>
    </w:rPr>
  </w:style>
  <w:style w:type="character" w:customStyle="1" w:styleId="Heading2Char">
    <w:name w:val="Heading 2 Char"/>
    <w:basedOn w:val="DefaultParagraphFont"/>
    <w:uiPriority w:val="9"/>
    <w:semiHidden/>
    <w:rsid w:val="00F67F2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Char1 Char,Heading 3 Char Char Char"/>
    <w:basedOn w:val="DefaultParagraphFont"/>
    <w:link w:val="Heading3"/>
    <w:rsid w:val="00F67F22"/>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rsid w:val="00F67F22"/>
    <w:rPr>
      <w:rFonts w:ascii="Arial" w:eastAsia="Times New Roman" w:hAnsi="Arial" w:cs="Times New Roman"/>
      <w:bCs/>
      <w:sz w:val="20"/>
      <w:szCs w:val="20"/>
      <w:lang w:val="x-none" w:eastAsia="x-none"/>
    </w:rPr>
  </w:style>
  <w:style w:type="character" w:customStyle="1" w:styleId="Heading5Char">
    <w:name w:val="Heading 5 Char"/>
    <w:basedOn w:val="DefaultParagraphFont"/>
    <w:link w:val="Heading5"/>
    <w:rsid w:val="00F67F22"/>
    <w:rPr>
      <w:rFonts w:ascii="Arial" w:eastAsia="Times New Roman" w:hAnsi="Arial" w:cs="Times New Roman"/>
      <w:sz w:val="20"/>
      <w:szCs w:val="20"/>
      <w:lang w:val="x-none" w:eastAsia="x-none"/>
    </w:rPr>
  </w:style>
  <w:style w:type="character" w:customStyle="1" w:styleId="Heading2Char1">
    <w:name w:val="Heading 2 Char1"/>
    <w:link w:val="Heading2"/>
    <w:rsid w:val="00F67F22"/>
    <w:rPr>
      <w:rFonts w:ascii="Arial" w:eastAsia="Times New Roman" w:hAnsi="Arial" w:cs="Times New Roman"/>
      <w:b/>
      <w:bCs/>
      <w:iCs/>
      <w:sz w:val="20"/>
      <w:szCs w:val="28"/>
      <w:lang w:val="x-none" w:eastAsia="x-none"/>
    </w:rPr>
  </w:style>
  <w:style w:type="character" w:styleId="Strong">
    <w:name w:val="Strong"/>
    <w:basedOn w:val="DefaultParagraphFont"/>
    <w:uiPriority w:val="22"/>
    <w:qFormat/>
    <w:rsid w:val="00553107"/>
    <w:rPr>
      <w:b/>
      <w:bCs/>
    </w:rPr>
  </w:style>
  <w:style w:type="paragraph" w:styleId="Title">
    <w:name w:val="Title"/>
    <w:basedOn w:val="Normal"/>
    <w:next w:val="Normal"/>
    <w:link w:val="TitleChar"/>
    <w:uiPriority w:val="10"/>
    <w:qFormat/>
    <w:rsid w:val="00565D4F"/>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4F"/>
    <w:rPr>
      <w:rFonts w:asciiTheme="majorHAnsi" w:eastAsiaTheme="majorEastAsia" w:hAnsiTheme="majorHAnsi" w:cstheme="majorBidi"/>
      <w:spacing w:val="-10"/>
      <w:kern w:val="28"/>
      <w:sz w:val="56"/>
      <w:szCs w:val="56"/>
    </w:rPr>
  </w:style>
  <w:style w:type="paragraph" w:customStyle="1" w:styleId="Head2Text">
    <w:name w:val="Head 2 Text"/>
    <w:basedOn w:val="Normal"/>
    <w:link w:val="Head2TextChar"/>
    <w:rsid w:val="00063415"/>
    <w:pPr>
      <w:tabs>
        <w:tab w:val="left" w:pos="900"/>
      </w:tabs>
      <w:spacing w:after="160"/>
      <w:ind w:left="648"/>
      <w:jc w:val="both"/>
    </w:pPr>
    <w:rPr>
      <w:rFonts w:ascii="Arial" w:hAnsi="Arial" w:cs="Times New Roman"/>
    </w:rPr>
  </w:style>
  <w:style w:type="paragraph" w:customStyle="1" w:styleId="Head3Text">
    <w:name w:val="Head 3 Text"/>
    <w:basedOn w:val="Normal"/>
    <w:link w:val="Head3TextChar"/>
    <w:rsid w:val="00063415"/>
    <w:pPr>
      <w:ind w:left="907"/>
      <w:jc w:val="both"/>
    </w:pPr>
    <w:rPr>
      <w:rFonts w:ascii="Arial" w:hAnsi="Arial" w:cs="Times New Roman"/>
    </w:rPr>
  </w:style>
  <w:style w:type="paragraph" w:styleId="ListBullet5">
    <w:name w:val="List Bullet 5"/>
    <w:basedOn w:val="Normal"/>
    <w:autoRedefine/>
    <w:rsid w:val="00063415"/>
    <w:pPr>
      <w:numPr>
        <w:numId w:val="7"/>
      </w:numPr>
      <w:tabs>
        <w:tab w:val="clear" w:pos="360"/>
      </w:tabs>
    </w:pPr>
    <w:rPr>
      <w:rFonts w:ascii="Arial" w:hAnsi="Arial" w:cs="Times New Roman"/>
    </w:rPr>
  </w:style>
  <w:style w:type="character" w:customStyle="1" w:styleId="Head3TextChar">
    <w:name w:val="Head 3 Text Char"/>
    <w:link w:val="Head3Text"/>
    <w:rsid w:val="00063415"/>
    <w:rPr>
      <w:rFonts w:ascii="Arial" w:eastAsia="Times New Roman" w:hAnsi="Arial" w:cs="Times New Roman"/>
      <w:sz w:val="20"/>
      <w:szCs w:val="20"/>
    </w:rPr>
  </w:style>
  <w:style w:type="character" w:customStyle="1" w:styleId="Head2TextChar">
    <w:name w:val="Head 2 Text Char"/>
    <w:link w:val="Head2Text"/>
    <w:rsid w:val="00063415"/>
    <w:rPr>
      <w:rFonts w:ascii="Arial" w:eastAsia="Times New Roman" w:hAnsi="Arial" w:cs="Times New Roman"/>
      <w:sz w:val="20"/>
      <w:szCs w:val="20"/>
    </w:rPr>
  </w:style>
  <w:style w:type="paragraph" w:customStyle="1" w:styleId="Head1Text">
    <w:name w:val="Head 1 Text"/>
    <w:basedOn w:val="Normal"/>
    <w:rsid w:val="00063415"/>
    <w:pPr>
      <w:jc w:val="both"/>
    </w:pPr>
    <w:rPr>
      <w:rFonts w:ascii="Arial" w:hAnsi="Arial" w:cs="Times New Roman"/>
    </w:rPr>
  </w:style>
  <w:style w:type="paragraph" w:styleId="ListBullet4">
    <w:name w:val="List Bullet 4"/>
    <w:basedOn w:val="Normal"/>
    <w:autoRedefine/>
    <w:rsid w:val="00D33736"/>
    <w:pPr>
      <w:numPr>
        <w:numId w:val="11"/>
      </w:numPr>
      <w:tabs>
        <w:tab w:val="clear" w:pos="360"/>
      </w:tabs>
      <w:ind w:left="0" w:firstLine="0"/>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017a2-43b2-4339-bcb6-81ed34d069df" xsi:nil="true"/>
    <lcf76f155ced4ddcb4097134ff3c332f xmlns="df47578f-8e2d-4f5e-8a70-e80b1e638954">
      <Terms xmlns="http://schemas.microsoft.com/office/infopath/2007/PartnerControls"/>
    </lcf76f155ced4ddcb4097134ff3c332f>
    <ebzu xmlns="df47578f-8e2d-4f5e-8a70-e80b1e6389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B62472EC73B4D9C74115641C92E52" ma:contentTypeVersion="16" ma:contentTypeDescription="Create a new document." ma:contentTypeScope="" ma:versionID="bc3a0e7247747a20a55901768b468a9c">
  <xsd:schema xmlns:xsd="http://www.w3.org/2001/XMLSchema" xmlns:xs="http://www.w3.org/2001/XMLSchema" xmlns:p="http://schemas.microsoft.com/office/2006/metadata/properties" xmlns:ns2="df47578f-8e2d-4f5e-8a70-e80b1e638954" xmlns:ns3="5a2017a2-43b2-4339-bcb6-81ed34d069df" targetNamespace="http://schemas.microsoft.com/office/2006/metadata/properties" ma:root="true" ma:fieldsID="ca3188212cf513740f6e52c328949d69" ns2:_="" ns3:_="">
    <xsd:import namespace="df47578f-8e2d-4f5e-8a70-e80b1e638954"/>
    <xsd:import namespace="5a2017a2-43b2-4339-bcb6-81ed34d06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ebzu"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7578f-8e2d-4f5e-8a70-e80b1e63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bzu" ma:index="16" nillable="true" ma:displayName="Date and time" ma:internalName="ebzu">
      <xsd:simpleType>
        <xsd:restriction base="dms:DateTim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017a2-43b2-4339-bcb6-81ed34d069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281c4c-f5a3-4b1a-a965-d3d61fd97a3a}" ma:internalName="TaxCatchAll" ma:showField="CatchAllData" ma:web="5a2017a2-43b2-4339-bcb6-81ed34d06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C84B4-AA5A-4F88-A440-A5B1A061BBB9}">
  <ds:schemaRefs>
    <ds:schemaRef ds:uri="http://schemas.microsoft.com/sharepoint/v3/contenttype/forms"/>
  </ds:schemaRefs>
</ds:datastoreItem>
</file>

<file path=customXml/itemProps2.xml><?xml version="1.0" encoding="utf-8"?>
<ds:datastoreItem xmlns:ds="http://schemas.openxmlformats.org/officeDocument/2006/customXml" ds:itemID="{E15B44C9-C212-4FA3-B00E-CA01FA1B83A5}">
  <ds:schemaRefs>
    <ds:schemaRef ds:uri="http://schemas.microsoft.com/office/2006/metadata/properties"/>
    <ds:schemaRef ds:uri="http://schemas.microsoft.com/office/infopath/2007/PartnerControls"/>
    <ds:schemaRef ds:uri="5a2017a2-43b2-4339-bcb6-81ed34d069df"/>
    <ds:schemaRef ds:uri="df47578f-8e2d-4f5e-8a70-e80b1e638954"/>
  </ds:schemaRefs>
</ds:datastoreItem>
</file>

<file path=customXml/itemProps3.xml><?xml version="1.0" encoding="utf-8"?>
<ds:datastoreItem xmlns:ds="http://schemas.openxmlformats.org/officeDocument/2006/customXml" ds:itemID="{54AD242B-FAA0-4229-927E-75318C03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7578f-8e2d-4f5e-8a70-e80b1e638954"/>
    <ds:schemaRef ds:uri="5a2017a2-43b2-4339-bcb6-81ed34d06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590E2-25E8-418D-AFC8-160E53B0F26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Evaluation Template</dc:title>
  <dc:subject/>
  <dc:creator>Ashish Patel</dc:creator>
  <cp:keywords/>
  <dc:description/>
  <cp:lastModifiedBy>Patel, Ashish (DCR)</cp:lastModifiedBy>
  <cp:revision>10</cp:revision>
  <cp:lastPrinted>2022-08-23T21:35:00Z</cp:lastPrinted>
  <dcterms:created xsi:type="dcterms:W3CDTF">2026-05-27T18:30:00Z</dcterms:created>
  <dcterms:modified xsi:type="dcterms:W3CDTF">2026-06-15T17:08:00Z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0x01010037DB62472EC73B4D9C74115641C92E52</vt:lpwstr>
  </property>
  <property fmtid="{D5CDD505-2E9C-101B-9397-08002B2CF9AE}" pid="3" name="MediaServiceImageTags">
    <vt:lpwstr/>
  </property>
</Properties>
</file>