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C349C" w14:textId="77777777" w:rsidR="00C124FE" w:rsidRDefault="00C124FE" w:rsidP="00C124FE">
      <w:pPr>
        <w:jc w:val="center"/>
        <w:rPr>
          <w:rFonts w:ascii="Times New Roman" w:hAnsi="Times New Roman" w:cs="Times New Roman"/>
        </w:rPr>
      </w:pPr>
      <w:r>
        <w:rPr>
          <w:rFonts w:ascii="Times New Roman" w:hAnsi="Times New Roman" w:cs="Times New Roman"/>
        </w:rPr>
        <w:t>Attachment A – Technical Specifications</w:t>
      </w:r>
    </w:p>
    <w:p w14:paraId="43716355" w14:textId="12330DAE" w:rsidR="00C7420B" w:rsidRPr="006A1611" w:rsidRDefault="00C124FE" w:rsidP="00C124FE">
      <w:pPr>
        <w:rPr>
          <w:rFonts w:ascii="Times New Roman" w:hAnsi="Times New Roman" w:cs="Times New Roman"/>
        </w:rPr>
      </w:pPr>
      <w:r>
        <w:rPr>
          <w:rFonts w:ascii="Times New Roman" w:hAnsi="Times New Roman" w:cs="Times New Roman"/>
        </w:rPr>
        <w:t xml:space="preserve">1 MW Box Furnace: </w:t>
      </w:r>
      <w:r>
        <w:rPr>
          <w:rFonts w:ascii="Times New Roman" w:hAnsi="Times New Roman" w:cs="Times New Roman"/>
        </w:rPr>
        <w:br/>
      </w:r>
      <w:r>
        <w:rPr>
          <w:rFonts w:ascii="Times New Roman" w:hAnsi="Times New Roman" w:cs="Times New Roman"/>
        </w:rPr>
        <w:br/>
      </w:r>
      <w:r w:rsidR="00C7420B" w:rsidRPr="006A1611">
        <w:rPr>
          <w:rFonts w:ascii="Times New Roman" w:hAnsi="Times New Roman" w:cs="Times New Roman"/>
        </w:rPr>
        <w:t>1. Combustion chamber sized based on a 1 MW (3,412,000 btu/</w:t>
      </w:r>
      <w:proofErr w:type="spellStart"/>
      <w:r w:rsidR="00C7420B" w:rsidRPr="006A1611">
        <w:rPr>
          <w:rFonts w:ascii="Times New Roman" w:hAnsi="Times New Roman" w:cs="Times New Roman"/>
        </w:rPr>
        <w:t>hr</w:t>
      </w:r>
      <w:proofErr w:type="spellEnd"/>
      <w:r w:rsidR="00C7420B" w:rsidRPr="006A1611">
        <w:rPr>
          <w:rFonts w:ascii="Times New Roman" w:hAnsi="Times New Roman" w:cs="Times New Roman"/>
        </w:rPr>
        <w:t>) burner input</w:t>
      </w:r>
      <w:r w:rsidR="0054434E" w:rsidRPr="006A1611">
        <w:rPr>
          <w:rFonts w:ascii="Times New Roman" w:hAnsi="Times New Roman" w:cs="Times New Roman"/>
        </w:rPr>
        <w:t>.</w:t>
      </w:r>
      <w:r w:rsidR="00C20D1C" w:rsidRPr="006A1611">
        <w:rPr>
          <w:rFonts w:ascii="Times New Roman" w:hAnsi="Times New Roman" w:cs="Times New Roman"/>
        </w:rPr>
        <w:t xml:space="preserve">  Front and back faces are </w:t>
      </w:r>
      <w:r w:rsidR="00667262" w:rsidRPr="006A1611">
        <w:rPr>
          <w:rFonts w:ascii="Times New Roman" w:hAnsi="Times New Roman" w:cs="Times New Roman"/>
        </w:rPr>
        <w:t xml:space="preserve">made of </w:t>
      </w:r>
      <w:r w:rsidR="00DA3BD1" w:rsidRPr="006A1611">
        <w:rPr>
          <w:rFonts w:ascii="Times New Roman" w:hAnsi="Times New Roman" w:cs="Times New Roman"/>
        </w:rPr>
        <w:t xml:space="preserve">two </w:t>
      </w:r>
      <w:r w:rsidR="00667262" w:rsidRPr="006A1611">
        <w:rPr>
          <w:rFonts w:ascii="Times New Roman" w:hAnsi="Times New Roman" w:cs="Times New Roman"/>
        </w:rPr>
        <w:t xml:space="preserve">flanged </w:t>
      </w:r>
      <w:r w:rsidR="00DA3BD1" w:rsidRPr="006A1611">
        <w:rPr>
          <w:rFonts w:ascii="Times New Roman" w:hAnsi="Times New Roman" w:cs="Times New Roman"/>
        </w:rPr>
        <w:t xml:space="preserve">face </w:t>
      </w:r>
      <w:r w:rsidR="00667262" w:rsidRPr="006A1611">
        <w:rPr>
          <w:rFonts w:ascii="Times New Roman" w:hAnsi="Times New Roman" w:cs="Times New Roman"/>
        </w:rPr>
        <w:t xml:space="preserve">sections, which can be removed and replaced </w:t>
      </w:r>
      <w:proofErr w:type="gramStart"/>
      <w:r w:rsidR="00667262" w:rsidRPr="006A1611">
        <w:rPr>
          <w:rFonts w:ascii="Times New Roman" w:hAnsi="Times New Roman" w:cs="Times New Roman"/>
        </w:rPr>
        <w:t>for</w:t>
      </w:r>
      <w:proofErr w:type="gramEnd"/>
      <w:r w:rsidR="00667262" w:rsidRPr="006A1611">
        <w:rPr>
          <w:rFonts w:ascii="Times New Roman" w:hAnsi="Times New Roman" w:cs="Times New Roman"/>
        </w:rPr>
        <w:t xml:space="preserve"> various bung arrangements.  First installation includes </w:t>
      </w:r>
      <w:r w:rsidR="00DA3BD1" w:rsidRPr="006A1611">
        <w:rPr>
          <w:rFonts w:ascii="Times New Roman" w:hAnsi="Times New Roman" w:cs="Times New Roman"/>
        </w:rPr>
        <w:t>5 bungs on each side, with an offset orientation.  Three bungs on a top row, two bungs on the bottom, and the</w:t>
      </w:r>
      <w:r w:rsidR="00D951C1" w:rsidRPr="006A1611">
        <w:rPr>
          <w:rFonts w:ascii="Times New Roman" w:hAnsi="Times New Roman" w:cs="Times New Roman"/>
        </w:rPr>
        <w:t xml:space="preserve"> inverse on the opposite side.</w:t>
      </w:r>
    </w:p>
    <w:p w14:paraId="5579CBD7" w14:textId="211C3AD1" w:rsidR="0054434E" w:rsidRPr="006A1611" w:rsidRDefault="00277A6E" w:rsidP="0054434E">
      <w:pPr>
        <w:rPr>
          <w:rFonts w:ascii="Times New Roman" w:hAnsi="Times New Roman" w:cs="Times New Roman"/>
        </w:rPr>
      </w:pPr>
      <w:r w:rsidRPr="006A1611">
        <w:rPr>
          <w:rFonts w:ascii="Times New Roman" w:hAnsi="Times New Roman" w:cs="Times New Roman"/>
        </w:rPr>
        <w:t>2</w:t>
      </w:r>
      <w:r w:rsidR="0054434E" w:rsidRPr="006A1611">
        <w:rPr>
          <w:rFonts w:ascii="Times New Roman" w:hAnsi="Times New Roman" w:cs="Times New Roman"/>
        </w:rPr>
        <w:t>. The combustion chamber geometry is a modular, horizontal rectangular box with internal dimensions of 6.5 ft wide x 4.5 ft high. Length is variable from 5 ft to 12 ft. The assembly consists of a static body piece (4.5 ft deep), three removable expansion inserts (1 ft, 2 ft, and 4 ft deep), and a cap piece (0.5 ft deep).</w:t>
      </w:r>
    </w:p>
    <w:p w14:paraId="6FFC8B8B" w14:textId="75A072BA" w:rsidR="00C7420B" w:rsidRPr="006A1611" w:rsidRDefault="00277A6E" w:rsidP="00C7420B">
      <w:pPr>
        <w:rPr>
          <w:rFonts w:ascii="Times New Roman" w:hAnsi="Times New Roman" w:cs="Times New Roman"/>
        </w:rPr>
      </w:pPr>
      <w:r w:rsidRPr="006A1611">
        <w:rPr>
          <w:rFonts w:ascii="Times New Roman" w:hAnsi="Times New Roman" w:cs="Times New Roman"/>
        </w:rPr>
        <w:t>3</w:t>
      </w:r>
      <w:r w:rsidR="00C7420B" w:rsidRPr="006A1611">
        <w:rPr>
          <w:rFonts w:ascii="Times New Roman" w:hAnsi="Times New Roman" w:cs="Times New Roman"/>
        </w:rPr>
        <w:t xml:space="preserve">. Nominal volume is variable, with a nominal </w:t>
      </w:r>
      <w:r w:rsidRPr="006A1611">
        <w:rPr>
          <w:rFonts w:ascii="Times New Roman" w:hAnsi="Times New Roman" w:cs="Times New Roman"/>
        </w:rPr>
        <w:t xml:space="preserve">volume </w:t>
      </w:r>
      <w:r w:rsidR="00C7420B" w:rsidRPr="006A1611">
        <w:rPr>
          <w:rFonts w:ascii="Times New Roman" w:hAnsi="Times New Roman" w:cs="Times New Roman"/>
        </w:rPr>
        <w:t xml:space="preserve">at an 8 ft length for the 1 MW burner input. </w:t>
      </w:r>
      <w:proofErr w:type="gramStart"/>
      <w:r w:rsidR="00C7420B" w:rsidRPr="006A1611">
        <w:rPr>
          <w:rFonts w:ascii="Times New Roman" w:hAnsi="Times New Roman" w:cs="Times New Roman"/>
        </w:rPr>
        <w:t>Furnace</w:t>
      </w:r>
      <w:proofErr w:type="gramEnd"/>
      <w:r w:rsidR="00C7420B" w:rsidRPr="006A1611">
        <w:rPr>
          <w:rFonts w:ascii="Times New Roman" w:hAnsi="Times New Roman" w:cs="Times New Roman"/>
        </w:rPr>
        <w:t xml:space="preserve"> will operate at lower heat inputs for smaller volumes and can utilize refractory brick fill to reduce volume on the high end.</w:t>
      </w:r>
    </w:p>
    <w:p w14:paraId="0E0EAB97"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4. Refractory lining designed to withstand maximum operating temperatures of 2700°F for NG-H2 combustion. Lining to be poured or equivalent, designed to sufficiently reduce thermal load and surface temperatures, using non-RCF and non-radioactive materials.</w:t>
      </w:r>
    </w:p>
    <w:p w14:paraId="63D98A2F" w14:textId="754DCFDE" w:rsidR="00C7420B" w:rsidRPr="006A1611" w:rsidRDefault="00C7420B" w:rsidP="00C7420B">
      <w:pPr>
        <w:rPr>
          <w:rFonts w:ascii="Times New Roman" w:hAnsi="Times New Roman" w:cs="Times New Roman"/>
        </w:rPr>
      </w:pPr>
      <w:r w:rsidRPr="006A1611">
        <w:rPr>
          <w:rFonts w:ascii="Times New Roman" w:hAnsi="Times New Roman" w:cs="Times New Roman"/>
        </w:rPr>
        <w:t>5. The shell material and thickness to be dictated by structural load requirements of suspended sections and 2700°F refractory capabilities. The face of the body and cap are made of two flanged pieces to allow for future three-row arrangements</w:t>
      </w:r>
      <w:r w:rsidR="00D951C1" w:rsidRPr="006A1611">
        <w:rPr>
          <w:rFonts w:ascii="Times New Roman" w:hAnsi="Times New Roman" w:cs="Times New Roman"/>
        </w:rPr>
        <w:t xml:space="preserve"> if desired</w:t>
      </w:r>
      <w:r w:rsidRPr="006A1611">
        <w:rPr>
          <w:rFonts w:ascii="Times New Roman" w:hAnsi="Times New Roman" w:cs="Times New Roman"/>
        </w:rPr>
        <w:t>. These face inserts feature flush flanges along three sides</w:t>
      </w:r>
      <w:r w:rsidR="00D951C1" w:rsidRPr="006A1611">
        <w:rPr>
          <w:rFonts w:ascii="Times New Roman" w:hAnsi="Times New Roman" w:cs="Times New Roman"/>
        </w:rPr>
        <w:t>, where the inserts mount to the furnace exoskeleton,</w:t>
      </w:r>
      <w:r w:rsidRPr="006A1611">
        <w:rPr>
          <w:rFonts w:ascii="Times New Roman" w:hAnsi="Times New Roman" w:cs="Times New Roman"/>
        </w:rPr>
        <w:t xml:space="preserve"> and a perpendicular lip along the mating side to connect to one another. All modular body sections feature flanged connections.</w:t>
      </w:r>
    </w:p>
    <w:p w14:paraId="2B970E1C"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6. Dual exhaust capabilities provided, allowing the furnace to exhaust out of the floor or the wall. Both exhaust routes are built-in and equipped with dedicated baffles for flow control.</w:t>
      </w:r>
    </w:p>
    <w:p w14:paraId="5D050443"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7. Ten (10) ultra-high temperature quartz view ports are provided for optical access. View ports are long, rectangular windows nominally 1” to 2” wide and 4’ to 5’ long (or an array of smaller windows equating to this length), provided with airtight high-temperature gaskets and flanged mounts.</w:t>
      </w:r>
    </w:p>
    <w:p w14:paraId="2481721B"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 xml:space="preserve">8. Forty (40) thermocouple connections are provided on all sides of the furnace, distributed with a nominal 24” on center spacing. </w:t>
      </w:r>
    </w:p>
    <w:p w14:paraId="150341A4"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 xml:space="preserve">9. Twenty (20) 1/4” NPT monitoring ports (for pressure transducers, etc.) are provided, distributed with a nominal 48” on center spacing. </w:t>
      </w:r>
    </w:p>
    <w:p w14:paraId="38F9DD29"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 xml:space="preserve">10. Eleven (11) 22” x 22” square interchangeable burner bungs are provided to allow co-axial and off-axis firing arrangements. Five (5) bungs are located on one side, five (5) on the opposite </w:t>
      </w:r>
      <w:r w:rsidRPr="006A1611">
        <w:rPr>
          <w:rFonts w:ascii="Times New Roman" w:hAnsi="Times New Roman" w:cs="Times New Roman"/>
        </w:rPr>
        <w:lastRenderedPageBreak/>
        <w:t>side, and one (1) roof bung is located in the 4 ft expansion insert. Bungs are spaced 2” from the wall and 4” between each bung. Initially provided as flanged "blanks" with refractory flush to the interior wall and equipped with lifting hardware for installation/removal.</w:t>
      </w:r>
    </w:p>
    <w:p w14:paraId="64A64AA7"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11. The main base piece (body) is statically supported. The three expansion inserts (1 ft, 2 ft, 4 ft) have no rollers and are supported entirely by their flanged connections to the base piece. The cap piece is supported on rollers to facilitate installation and accommodate thermal expansion.</w:t>
      </w:r>
    </w:p>
    <w:p w14:paraId="5A8AE3EC" w14:textId="77777777" w:rsidR="00C7420B" w:rsidRPr="006A1611" w:rsidRDefault="00C7420B" w:rsidP="00C7420B">
      <w:pPr>
        <w:rPr>
          <w:rFonts w:ascii="Times New Roman" w:hAnsi="Times New Roman" w:cs="Times New Roman"/>
        </w:rPr>
      </w:pPr>
      <w:r w:rsidRPr="006A1611">
        <w:rPr>
          <w:rFonts w:ascii="Times New Roman" w:hAnsi="Times New Roman" w:cs="Times New Roman"/>
        </w:rPr>
        <w:t>12. Finish is sand blast and paint with high temperature finish.</w:t>
      </w:r>
    </w:p>
    <w:p w14:paraId="2F02A16D" w14:textId="3CEFFA17" w:rsidR="00242C76" w:rsidRPr="006A1611" w:rsidRDefault="00C7420B" w:rsidP="00242C76">
      <w:pPr>
        <w:rPr>
          <w:rFonts w:ascii="Times New Roman" w:hAnsi="Times New Roman" w:cs="Times New Roman"/>
        </w:rPr>
      </w:pPr>
      <w:r w:rsidRPr="006A1611">
        <w:rPr>
          <w:rFonts w:ascii="Times New Roman" w:hAnsi="Times New Roman" w:cs="Times New Roman"/>
        </w:rPr>
        <w:t>13. The furnace is highly modular and flexible; the 1 ft, 2 ft, and 4 ft expansion inserts can be lifted in and out as needed to expand or contract the furnace volume based on specific user testing matrices and multi-burner configurations.</w:t>
      </w:r>
      <w:r w:rsidR="00E616C9">
        <w:rPr>
          <w:rFonts w:ascii="Times New Roman" w:hAnsi="Times New Roman" w:cs="Times New Roman"/>
        </w:rPr>
        <w:br/>
      </w:r>
      <w:r w:rsidR="00E616C9">
        <w:rPr>
          <w:rFonts w:ascii="Times New Roman" w:hAnsi="Times New Roman" w:cs="Times New Roman"/>
        </w:rPr>
        <w:br/>
        <w:t xml:space="preserve">14. </w:t>
      </w:r>
      <w:r w:rsidR="001F13B5">
        <w:rPr>
          <w:rFonts w:ascii="Times New Roman" w:hAnsi="Times New Roman" w:cs="Times New Roman"/>
        </w:rPr>
        <w:t>The Modular Test Furnace sh</w:t>
      </w:r>
      <w:r w:rsidR="006A2B0C">
        <w:rPr>
          <w:rFonts w:ascii="Times New Roman" w:hAnsi="Times New Roman" w:cs="Times New Roman"/>
        </w:rPr>
        <w:t xml:space="preserve">all be </w:t>
      </w:r>
      <w:r w:rsidR="00E81ADD">
        <w:rPr>
          <w:rFonts w:ascii="Times New Roman" w:hAnsi="Times New Roman" w:cs="Times New Roman"/>
        </w:rPr>
        <w:t xml:space="preserve">a Nationally Recognized Testing Laboratory (NRTL) </w:t>
      </w:r>
      <w:r w:rsidR="006A2B0C">
        <w:rPr>
          <w:rFonts w:ascii="Times New Roman" w:hAnsi="Times New Roman" w:cs="Times New Roman"/>
        </w:rPr>
        <w:t xml:space="preserve">certified </w:t>
      </w:r>
      <w:r w:rsidR="00E81ADD">
        <w:rPr>
          <w:rFonts w:ascii="Times New Roman" w:hAnsi="Times New Roman" w:cs="Times New Roman"/>
        </w:rPr>
        <w:t xml:space="preserve">system. </w:t>
      </w:r>
      <w:r w:rsidR="00E81ADD">
        <w:rPr>
          <w:rFonts w:ascii="Times New Roman" w:hAnsi="Times New Roman" w:cs="Times New Roman"/>
        </w:rPr>
        <w:br/>
      </w:r>
      <w:r w:rsidR="00E81ADD">
        <w:rPr>
          <w:rFonts w:ascii="Times New Roman" w:hAnsi="Times New Roman" w:cs="Times New Roman"/>
        </w:rPr>
        <w:br/>
      </w:r>
      <w:r w:rsidR="009F3892">
        <w:rPr>
          <w:rFonts w:ascii="Times New Roman" w:hAnsi="Times New Roman" w:cs="Times New Roman"/>
        </w:rPr>
        <w:t xml:space="preserve">15. The </w:t>
      </w:r>
      <w:r w:rsidR="00242C76">
        <w:rPr>
          <w:rFonts w:ascii="Times New Roman" w:hAnsi="Times New Roman" w:cs="Times New Roman"/>
        </w:rPr>
        <w:t xml:space="preserve">furnace shall be delivered to: </w:t>
      </w:r>
      <w:r w:rsidR="00242C76">
        <w:rPr>
          <w:rFonts w:ascii="Times New Roman" w:hAnsi="Times New Roman" w:cs="Times New Roman"/>
        </w:rPr>
        <w:br/>
      </w:r>
      <w:r w:rsidR="00242C76">
        <w:rPr>
          <w:rFonts w:ascii="Times New Roman" w:hAnsi="Times New Roman" w:cs="Times New Roman"/>
        </w:rPr>
        <w:tab/>
      </w:r>
      <w:r w:rsidR="00242C76">
        <w:rPr>
          <w:rFonts w:ascii="Times New Roman" w:hAnsi="Times New Roman" w:cs="Times New Roman"/>
        </w:rPr>
        <w:br/>
        <w:t xml:space="preserve">            U.S. DOE/NETL</w:t>
      </w:r>
      <w:r w:rsidR="00242C76">
        <w:rPr>
          <w:rFonts w:ascii="Times New Roman" w:hAnsi="Times New Roman" w:cs="Times New Roman"/>
        </w:rPr>
        <w:br/>
        <w:t xml:space="preserve">            National Energy Technology Laboratory</w:t>
      </w:r>
      <w:r w:rsidR="00242C76">
        <w:rPr>
          <w:rFonts w:ascii="Times New Roman" w:hAnsi="Times New Roman" w:cs="Times New Roman"/>
        </w:rPr>
        <w:br/>
      </w:r>
      <w:r w:rsidR="00242C76">
        <w:rPr>
          <w:rFonts w:ascii="Times New Roman" w:hAnsi="Times New Roman" w:cs="Times New Roman"/>
        </w:rPr>
        <w:tab/>
        <w:t xml:space="preserve">3610 Collins Ferry Road </w:t>
      </w:r>
      <w:r w:rsidR="00242C76">
        <w:rPr>
          <w:rFonts w:ascii="Times New Roman" w:hAnsi="Times New Roman" w:cs="Times New Roman"/>
        </w:rPr>
        <w:br/>
      </w:r>
      <w:r w:rsidR="00242C76">
        <w:rPr>
          <w:rFonts w:ascii="Times New Roman" w:hAnsi="Times New Roman" w:cs="Times New Roman"/>
        </w:rPr>
        <w:tab/>
        <w:t>Morgantown, WV 26505</w:t>
      </w:r>
    </w:p>
    <w:sectPr w:rsidR="00242C76" w:rsidRPr="006A16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E35"/>
    <w:rsid w:val="001F13B5"/>
    <w:rsid w:val="00242C76"/>
    <w:rsid w:val="00245074"/>
    <w:rsid w:val="00277A6E"/>
    <w:rsid w:val="00396E35"/>
    <w:rsid w:val="003E4ECE"/>
    <w:rsid w:val="00467792"/>
    <w:rsid w:val="0054434E"/>
    <w:rsid w:val="00667262"/>
    <w:rsid w:val="006A1611"/>
    <w:rsid w:val="006A2B0C"/>
    <w:rsid w:val="009F3892"/>
    <w:rsid w:val="00A27CB9"/>
    <w:rsid w:val="00AC147E"/>
    <w:rsid w:val="00C124FE"/>
    <w:rsid w:val="00C20D1C"/>
    <w:rsid w:val="00C7420B"/>
    <w:rsid w:val="00D951C1"/>
    <w:rsid w:val="00DA3BD1"/>
    <w:rsid w:val="00E05986"/>
    <w:rsid w:val="00E616C9"/>
    <w:rsid w:val="00E81ADD"/>
    <w:rsid w:val="00E943BF"/>
    <w:rsid w:val="00F00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D69B2"/>
  <w15:chartTrackingRefBased/>
  <w15:docId w15:val="{0307EEDD-C149-4B6B-A5ED-D6FE84778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6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E35"/>
    <w:rPr>
      <w:rFonts w:eastAsiaTheme="majorEastAsia" w:cstheme="majorBidi"/>
      <w:color w:val="272727" w:themeColor="text1" w:themeTint="D8"/>
    </w:rPr>
  </w:style>
  <w:style w:type="paragraph" w:styleId="Title">
    <w:name w:val="Title"/>
    <w:basedOn w:val="Normal"/>
    <w:next w:val="Normal"/>
    <w:link w:val="TitleChar"/>
    <w:uiPriority w:val="10"/>
    <w:qFormat/>
    <w:rsid w:val="00396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E35"/>
    <w:pPr>
      <w:spacing w:before="160"/>
      <w:jc w:val="center"/>
    </w:pPr>
    <w:rPr>
      <w:i/>
      <w:iCs/>
      <w:color w:val="404040" w:themeColor="text1" w:themeTint="BF"/>
    </w:rPr>
  </w:style>
  <w:style w:type="character" w:customStyle="1" w:styleId="QuoteChar">
    <w:name w:val="Quote Char"/>
    <w:basedOn w:val="DefaultParagraphFont"/>
    <w:link w:val="Quote"/>
    <w:uiPriority w:val="29"/>
    <w:rsid w:val="00396E35"/>
    <w:rPr>
      <w:i/>
      <w:iCs/>
      <w:color w:val="404040" w:themeColor="text1" w:themeTint="BF"/>
    </w:rPr>
  </w:style>
  <w:style w:type="paragraph" w:styleId="ListParagraph">
    <w:name w:val="List Paragraph"/>
    <w:basedOn w:val="Normal"/>
    <w:uiPriority w:val="34"/>
    <w:qFormat/>
    <w:rsid w:val="00396E35"/>
    <w:pPr>
      <w:ind w:left="720"/>
      <w:contextualSpacing/>
    </w:pPr>
  </w:style>
  <w:style w:type="character" w:styleId="IntenseEmphasis">
    <w:name w:val="Intense Emphasis"/>
    <w:basedOn w:val="DefaultParagraphFont"/>
    <w:uiPriority w:val="21"/>
    <w:qFormat/>
    <w:rsid w:val="00396E35"/>
    <w:rPr>
      <w:i/>
      <w:iCs/>
      <w:color w:val="0F4761" w:themeColor="accent1" w:themeShade="BF"/>
    </w:rPr>
  </w:style>
  <w:style w:type="paragraph" w:styleId="IntenseQuote">
    <w:name w:val="Intense Quote"/>
    <w:basedOn w:val="Normal"/>
    <w:next w:val="Normal"/>
    <w:link w:val="IntenseQuoteChar"/>
    <w:uiPriority w:val="30"/>
    <w:qFormat/>
    <w:rsid w:val="0039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E35"/>
    <w:rPr>
      <w:i/>
      <w:iCs/>
      <w:color w:val="0F4761" w:themeColor="accent1" w:themeShade="BF"/>
    </w:rPr>
  </w:style>
  <w:style w:type="character" w:styleId="IntenseReference">
    <w:name w:val="Intense Reference"/>
    <w:basedOn w:val="DefaultParagraphFont"/>
    <w:uiPriority w:val="32"/>
    <w:qFormat/>
    <w:rsid w:val="00396E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19704fc-3403-4d01-ab95-cf9b9564a98b}" enabled="0" method="" siteId="{019704fc-3403-4d01-ab95-cf9b9564a98b}"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582</Words>
  <Characters>3251</Characters>
  <Application>Microsoft Office Word</Application>
  <DocSecurity>0</DocSecurity>
  <Lines>58</Lines>
  <Paragraphs>31</Paragraphs>
  <ScaleCrop>false</ScaleCrop>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Kristyn B.</dc:creator>
  <cp:keywords/>
  <dc:description/>
  <cp:lastModifiedBy>Lahey, David J.</cp:lastModifiedBy>
  <cp:revision>2</cp:revision>
  <dcterms:created xsi:type="dcterms:W3CDTF">2026-07-08T17:34:00Z</dcterms:created>
  <dcterms:modified xsi:type="dcterms:W3CDTF">2026-07-08T17:34:00Z</dcterms:modified>
</cp:coreProperties>
</file>